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DE009" w14:textId="6A79B586" w:rsidR="00992BB3" w:rsidRDefault="00992BB3" w:rsidP="001379E0">
      <w:pPr>
        <w:pStyle w:val="Heading1"/>
      </w:pPr>
      <w:r w:rsidRPr="001379E0">
        <w:t>Data Governance Key Roles</w:t>
      </w:r>
    </w:p>
    <w:p w14:paraId="0E387E82" w14:textId="77777777" w:rsidR="00992BB3" w:rsidRDefault="00992BB3" w:rsidP="00CE1560"/>
    <w:p w14:paraId="2859EE69" w14:textId="77777777" w:rsidR="00992BB3" w:rsidRDefault="00992BB3" w:rsidP="0012168E">
      <w:pPr>
        <w:pStyle w:val="Heading2"/>
        <w:spacing w:after="240"/>
      </w:pPr>
      <w:r w:rsidRPr="001379E0">
        <w:t>Chief Data Officer (CDO)</w:t>
      </w:r>
    </w:p>
    <w:p w14:paraId="1D1BF9EE" w14:textId="77777777" w:rsidR="00992BB3" w:rsidRPr="001A1AE2" w:rsidRDefault="00992BB3" w:rsidP="005672CA">
      <w:pPr>
        <w:spacing w:after="120"/>
        <w:rPr>
          <w:b/>
          <w:bCs/>
          <w:sz w:val="28"/>
          <w:szCs w:val="28"/>
        </w:rPr>
      </w:pPr>
      <w:r w:rsidRPr="001A1AE2">
        <w:rPr>
          <w:b/>
          <w:bCs/>
          <w:sz w:val="28"/>
          <w:szCs w:val="28"/>
        </w:rPr>
        <w:t>Description</w:t>
      </w:r>
      <w:r>
        <w:rPr>
          <w:b/>
          <w:bCs/>
          <w:sz w:val="28"/>
          <w:szCs w:val="28"/>
        </w:rPr>
        <w:t>:</w:t>
      </w:r>
    </w:p>
    <w:p w14:paraId="554FD363" w14:textId="77777777" w:rsidR="00992BB3" w:rsidRDefault="00992BB3" w:rsidP="00413A79">
      <w:pPr>
        <w:pStyle w:val="Bulletedlist"/>
      </w:pPr>
      <w:r w:rsidRPr="001379E0">
        <w:t xml:space="preserve">Accountable for the overall data governance program in an organization, has responsibilities that touch every phase of the data lifecycle. </w:t>
      </w:r>
    </w:p>
    <w:p w14:paraId="726D5215" w14:textId="77777777" w:rsidR="00992BB3" w:rsidRDefault="00992BB3" w:rsidP="00413A79">
      <w:pPr>
        <w:pStyle w:val="Bulletedlist"/>
      </w:pPr>
      <w:r w:rsidRPr="001379E0">
        <w:t xml:space="preserve">Focused on the Plan stage of the Data Lifecycle. </w:t>
      </w:r>
    </w:p>
    <w:p w14:paraId="66F2D6A7" w14:textId="77777777" w:rsidR="00992BB3" w:rsidRDefault="00992BB3" w:rsidP="00413A79">
      <w:pPr>
        <w:pStyle w:val="Bulletedlist"/>
      </w:pPr>
      <w:r w:rsidRPr="001379E0">
        <w:t>The public sector CDO must focus on mission objectives of government agencies— which may involve looking for cost savings—but is not typically about monetizing government data</w:t>
      </w:r>
    </w:p>
    <w:p w14:paraId="0D21BB95" w14:textId="77777777" w:rsidR="00992BB3" w:rsidRPr="001A1AE2" w:rsidRDefault="00992BB3" w:rsidP="005672CA">
      <w:pPr>
        <w:spacing w:after="120"/>
        <w:rPr>
          <w:b/>
          <w:bCs/>
          <w:sz w:val="28"/>
          <w:szCs w:val="28"/>
        </w:rPr>
      </w:pPr>
      <w:r w:rsidRPr="001A1AE2">
        <w:rPr>
          <w:b/>
          <w:bCs/>
          <w:sz w:val="28"/>
          <w:szCs w:val="28"/>
        </w:rPr>
        <w:t>Responsibilities</w:t>
      </w:r>
      <w:r>
        <w:rPr>
          <w:b/>
          <w:bCs/>
          <w:sz w:val="28"/>
          <w:szCs w:val="28"/>
        </w:rPr>
        <w:t>:</w:t>
      </w:r>
    </w:p>
    <w:p w14:paraId="622600B8" w14:textId="77777777" w:rsidR="00992BB3" w:rsidRDefault="00992BB3" w:rsidP="00413A79">
      <w:pPr>
        <w:pStyle w:val="Bulletedlist"/>
      </w:pPr>
      <w:r w:rsidRPr="001379E0">
        <w:t xml:space="preserve">Establishing an organization data strategy to guide the organization and establish the goals and vision of the program </w:t>
      </w:r>
    </w:p>
    <w:p w14:paraId="66F67885" w14:textId="77777777" w:rsidR="00992BB3" w:rsidRDefault="00992BB3" w:rsidP="00413A79">
      <w:pPr>
        <w:pStyle w:val="Bulletedlist"/>
      </w:pPr>
      <w:r w:rsidRPr="001379E0">
        <w:t xml:space="preserve">Establishing data governance standards, policies and procedures </w:t>
      </w:r>
    </w:p>
    <w:p w14:paraId="187A72D1" w14:textId="77777777" w:rsidR="00992BB3" w:rsidRDefault="00992BB3" w:rsidP="00413A79">
      <w:pPr>
        <w:pStyle w:val="Bulletedlist"/>
      </w:pPr>
      <w:r w:rsidRPr="001379E0">
        <w:t xml:space="preserve">Providing advice and servers to agencies for data-dependent initiatives such as business analytics, </w:t>
      </w:r>
      <w:r>
        <w:t>b</w:t>
      </w:r>
      <w:r w:rsidRPr="001379E0">
        <w:t xml:space="preserve">ig </w:t>
      </w:r>
      <w:r>
        <w:t>d</w:t>
      </w:r>
      <w:r w:rsidRPr="001379E0">
        <w:t xml:space="preserve">ata, data quality, and data technologies </w:t>
      </w:r>
    </w:p>
    <w:p w14:paraId="2C937001" w14:textId="77777777" w:rsidR="00992BB3" w:rsidRDefault="00992BB3" w:rsidP="00413A79">
      <w:pPr>
        <w:pStyle w:val="Bulletedlist"/>
      </w:pPr>
      <w:r w:rsidRPr="001379E0">
        <w:t xml:space="preserve">Evangelizing the importance of good information managing principles to internal and external business stakeholders </w:t>
      </w:r>
    </w:p>
    <w:p w14:paraId="2F3C930E" w14:textId="77777777" w:rsidR="00992BB3" w:rsidRDefault="00992BB3" w:rsidP="00413A79">
      <w:pPr>
        <w:pStyle w:val="Bulletedlist"/>
      </w:pPr>
      <w:r w:rsidRPr="001379E0">
        <w:t>Oversight of data usage in analytics and business intelligence Increase the data management maturity of the organization</w:t>
      </w:r>
    </w:p>
    <w:p w14:paraId="41E25EDF" w14:textId="77777777" w:rsidR="00992BB3" w:rsidRDefault="00992BB3" w:rsidP="00CE1560"/>
    <w:p w14:paraId="245E623C" w14:textId="77777777" w:rsidR="00992BB3" w:rsidRDefault="00992BB3" w:rsidP="005672CA">
      <w:pPr>
        <w:pStyle w:val="Heading2"/>
        <w:spacing w:after="240"/>
      </w:pPr>
      <w:r>
        <w:t>Data Owner</w:t>
      </w:r>
    </w:p>
    <w:p w14:paraId="53EB6DBD" w14:textId="77777777" w:rsidR="00992BB3" w:rsidRPr="005672CA" w:rsidRDefault="00992BB3" w:rsidP="005672CA">
      <w:pPr>
        <w:spacing w:after="120"/>
      </w:pPr>
      <w:r w:rsidRPr="001A1AE2">
        <w:rPr>
          <w:b/>
          <w:bCs/>
          <w:sz w:val="28"/>
          <w:szCs w:val="28"/>
        </w:rPr>
        <w:t>Description</w:t>
      </w:r>
      <w:r>
        <w:rPr>
          <w:b/>
          <w:bCs/>
          <w:sz w:val="28"/>
          <w:szCs w:val="28"/>
        </w:rPr>
        <w:t>:</w:t>
      </w:r>
    </w:p>
    <w:p w14:paraId="09DDD29E" w14:textId="77777777" w:rsidR="00992BB3" w:rsidRPr="00BB28DD" w:rsidRDefault="00992BB3" w:rsidP="00BB28DD">
      <w:pPr>
        <w:pStyle w:val="Bulletedlist"/>
      </w:pPr>
      <w:r w:rsidRPr="00BB28DD">
        <w:t xml:space="preserve">Agency head whose agency originally created or acquired the raw data </w:t>
      </w:r>
    </w:p>
    <w:p w14:paraId="1DE59A8B" w14:textId="77777777" w:rsidR="00992BB3" w:rsidRPr="00BB28DD" w:rsidRDefault="00992BB3" w:rsidP="00BB28DD">
      <w:pPr>
        <w:pStyle w:val="Bulletedlist"/>
      </w:pPr>
      <w:r w:rsidRPr="00BB28DD">
        <w:t xml:space="preserve">Accountable for ensuring that appropriate steps are taken to protect data </w:t>
      </w:r>
    </w:p>
    <w:p w14:paraId="0C66813E" w14:textId="77777777" w:rsidR="00992BB3" w:rsidRPr="00BB28DD" w:rsidRDefault="00992BB3" w:rsidP="00BB28DD">
      <w:pPr>
        <w:pStyle w:val="Bulletedlist"/>
      </w:pPr>
      <w:r w:rsidRPr="00BB28DD">
        <w:t>Determines policies, regulatory requirements, compliance needs, and training required to protect data</w:t>
      </w:r>
    </w:p>
    <w:p w14:paraId="5378EA95" w14:textId="77777777" w:rsidR="00992BB3" w:rsidRDefault="00992BB3" w:rsidP="00BB28DD">
      <w:pPr>
        <w:pStyle w:val="Bulletedlist"/>
      </w:pPr>
      <w:r w:rsidRPr="0050226E">
        <w:t xml:space="preserve">Authority to sign Commonwealth Data Trust Agreements and Memorandums of Understanding </w:t>
      </w:r>
    </w:p>
    <w:p w14:paraId="60CC45C5" w14:textId="77777777" w:rsidR="00992BB3" w:rsidRDefault="00992BB3" w:rsidP="00BB28DD">
      <w:pPr>
        <w:pStyle w:val="Bulletedlist"/>
      </w:pPr>
      <w:r w:rsidRPr="0050226E">
        <w:t xml:space="preserve">Approves how data can be shared </w:t>
      </w:r>
    </w:p>
    <w:p w14:paraId="179D8922" w14:textId="77777777" w:rsidR="00992BB3" w:rsidRDefault="00992BB3" w:rsidP="005672CA">
      <w:pPr>
        <w:spacing w:after="120"/>
      </w:pPr>
      <w:r w:rsidRPr="005672CA">
        <w:rPr>
          <w:b/>
          <w:bCs/>
          <w:sz w:val="28"/>
          <w:szCs w:val="28"/>
        </w:rPr>
        <w:lastRenderedPageBreak/>
        <w:t>Responsibilities:</w:t>
      </w:r>
    </w:p>
    <w:p w14:paraId="11A2ACC7" w14:textId="77777777" w:rsidR="00992BB3" w:rsidRDefault="00992BB3" w:rsidP="00BB28DD">
      <w:pPr>
        <w:pStyle w:val="Bulletedlist"/>
      </w:pPr>
      <w:r w:rsidRPr="0050226E">
        <w:t>Determines who can access the data and</w:t>
      </w:r>
      <w:r>
        <w:t xml:space="preserve"> </w:t>
      </w:r>
      <w:r w:rsidRPr="0050226E">
        <w:t xml:space="preserve">periodically reviews access </w:t>
      </w:r>
    </w:p>
    <w:p w14:paraId="28CB1673" w14:textId="77777777" w:rsidR="00992BB3" w:rsidRDefault="00992BB3" w:rsidP="00BB28DD">
      <w:pPr>
        <w:pStyle w:val="Bulletedlist"/>
      </w:pPr>
      <w:r w:rsidRPr="0050226E">
        <w:t>Specify appropriate controls, based on data classification, to protect the information resources from unauthorized</w:t>
      </w:r>
      <w:r>
        <w:t xml:space="preserve"> </w:t>
      </w:r>
      <w:r w:rsidRPr="0050226E">
        <w:t xml:space="preserve">modification, deletion, or disclosure. </w:t>
      </w:r>
    </w:p>
    <w:p w14:paraId="1229108C" w14:textId="77777777" w:rsidR="00992BB3" w:rsidRDefault="00992BB3" w:rsidP="00BB28DD">
      <w:pPr>
        <w:pStyle w:val="Bulletedlist"/>
      </w:pPr>
      <w:r w:rsidRPr="0050226E">
        <w:t>The owner will convey those requirements to administrators for implementation and educate users</w:t>
      </w:r>
    </w:p>
    <w:p w14:paraId="4C6C8B5F" w14:textId="77777777" w:rsidR="00992BB3" w:rsidRDefault="00992BB3" w:rsidP="00BB28DD">
      <w:pPr>
        <w:pStyle w:val="Bulletedlist"/>
      </w:pPr>
      <w:r w:rsidRPr="0050226E">
        <w:t xml:space="preserve">Confirm that applicable controls are in place to ensure appropriate level of confidentiality, integrity and availability </w:t>
      </w:r>
    </w:p>
    <w:p w14:paraId="7B2BA468" w14:textId="77777777" w:rsidR="00992BB3" w:rsidRDefault="00992BB3" w:rsidP="00BB28DD">
      <w:pPr>
        <w:pStyle w:val="Bulletedlist"/>
      </w:pPr>
      <w:r w:rsidRPr="0050226E">
        <w:t>Confirm compliance with applicable controls and regulations</w:t>
      </w:r>
    </w:p>
    <w:p w14:paraId="544F355F" w14:textId="77777777" w:rsidR="00992BB3" w:rsidRDefault="00992BB3" w:rsidP="00CE1560"/>
    <w:p w14:paraId="7DBF66A2" w14:textId="77777777" w:rsidR="00992BB3" w:rsidRDefault="00992BB3" w:rsidP="002F6240">
      <w:pPr>
        <w:pStyle w:val="Heading2"/>
        <w:spacing w:after="240"/>
      </w:pPr>
      <w:r>
        <w:t>Data Steward</w:t>
      </w:r>
    </w:p>
    <w:p w14:paraId="32D14EFC" w14:textId="77777777" w:rsidR="00992BB3" w:rsidRPr="005672CA" w:rsidRDefault="00992BB3" w:rsidP="002F6240">
      <w:pPr>
        <w:spacing w:after="120"/>
      </w:pPr>
      <w:r w:rsidRPr="001A1AE2">
        <w:rPr>
          <w:b/>
          <w:bCs/>
          <w:sz w:val="28"/>
          <w:szCs w:val="28"/>
        </w:rPr>
        <w:t>Description</w:t>
      </w:r>
      <w:r>
        <w:rPr>
          <w:b/>
          <w:bCs/>
          <w:sz w:val="28"/>
          <w:szCs w:val="28"/>
        </w:rPr>
        <w:t>:</w:t>
      </w:r>
    </w:p>
    <w:p w14:paraId="22CFF663" w14:textId="77777777" w:rsidR="00992BB3" w:rsidRDefault="00992BB3" w:rsidP="00EA6A0C">
      <w:pPr>
        <w:pStyle w:val="Bulletedlist"/>
      </w:pPr>
      <w:r w:rsidRPr="0008228C">
        <w:t>Data stewards enforce data owner requirements, translate them into meaningful requirements, and act as subject matter experts on the data and its utility for business use</w:t>
      </w:r>
    </w:p>
    <w:p w14:paraId="1F2BE977" w14:textId="77777777" w:rsidR="00992BB3" w:rsidRDefault="00992BB3" w:rsidP="002F6240">
      <w:pPr>
        <w:pStyle w:val="Bulletedlist"/>
      </w:pPr>
      <w:r w:rsidRPr="0008228C">
        <w:t>Where owners have decision rights, stewards protect those rights and convey them across the enterprise.</w:t>
      </w:r>
    </w:p>
    <w:p w14:paraId="72A8483A" w14:textId="77777777" w:rsidR="00992BB3" w:rsidRDefault="00992BB3" w:rsidP="00CE1560"/>
    <w:p w14:paraId="3CE7DCA5" w14:textId="77777777" w:rsidR="00992BB3" w:rsidRDefault="00992BB3" w:rsidP="002F6240">
      <w:pPr>
        <w:spacing w:after="120"/>
      </w:pPr>
      <w:r w:rsidRPr="001A1AE2">
        <w:rPr>
          <w:b/>
          <w:bCs/>
          <w:sz w:val="28"/>
          <w:szCs w:val="28"/>
        </w:rPr>
        <w:t>Responsibilities</w:t>
      </w:r>
      <w:r>
        <w:rPr>
          <w:b/>
          <w:bCs/>
          <w:sz w:val="28"/>
          <w:szCs w:val="28"/>
        </w:rPr>
        <w:t>:</w:t>
      </w:r>
    </w:p>
    <w:p w14:paraId="26087E49" w14:textId="77777777" w:rsidR="00992BB3" w:rsidRDefault="00992BB3" w:rsidP="00296890">
      <w:pPr>
        <w:pStyle w:val="Bulletedlist"/>
      </w:pPr>
      <w:r w:rsidRPr="0008228C">
        <w:t xml:space="preserve">Implement the controls specified by the owner(s) </w:t>
      </w:r>
    </w:p>
    <w:p w14:paraId="2EE16FEA" w14:textId="77777777" w:rsidR="00992BB3" w:rsidRDefault="00992BB3" w:rsidP="00296890">
      <w:pPr>
        <w:pStyle w:val="Bulletedlist"/>
      </w:pPr>
      <w:r w:rsidRPr="0008228C">
        <w:t xml:space="preserve">Provide physical and procedural safeguards for the information resources </w:t>
      </w:r>
    </w:p>
    <w:p w14:paraId="198F4318" w14:textId="77777777" w:rsidR="00992BB3" w:rsidRDefault="00992BB3" w:rsidP="00296890">
      <w:pPr>
        <w:pStyle w:val="Bulletedlist"/>
      </w:pPr>
      <w:r w:rsidRPr="0008228C">
        <w:t xml:space="preserve">Assist owners in evaluating the overall effectiveness of controls and monitoring Implement the monitoring techniques and procedures for detecting, reporting, and investigating incidents </w:t>
      </w:r>
    </w:p>
    <w:p w14:paraId="280DB674" w14:textId="77777777" w:rsidR="00992BB3" w:rsidRDefault="00992BB3" w:rsidP="00CE1560"/>
    <w:p w14:paraId="311D459A" w14:textId="77777777" w:rsidR="00992BB3" w:rsidRDefault="00992BB3" w:rsidP="00CE1560">
      <w:r w:rsidRPr="0008228C">
        <w:t xml:space="preserve">Optional - Data </w:t>
      </w:r>
      <w:r>
        <w:t>c</w:t>
      </w:r>
      <w:r w:rsidRPr="0008228C">
        <w:t xml:space="preserve">uration </w:t>
      </w:r>
      <w:r>
        <w:t>d</w:t>
      </w:r>
      <w:r w:rsidRPr="0008228C">
        <w:t>ocumentation of contextual metadata about key data assets according to standard operating procedures and consistent terms of reference.</w:t>
      </w:r>
    </w:p>
    <w:p w14:paraId="4B03E708" w14:textId="77777777" w:rsidR="00992BB3" w:rsidRDefault="00992BB3" w:rsidP="00CE1560"/>
    <w:p w14:paraId="6FC2FFAF" w14:textId="77777777" w:rsidR="00992BB3" w:rsidRDefault="00992BB3" w:rsidP="00882E1E">
      <w:pPr>
        <w:pStyle w:val="Heading2"/>
        <w:spacing w:after="240"/>
      </w:pPr>
      <w:r>
        <w:t>Data Custodian</w:t>
      </w:r>
    </w:p>
    <w:p w14:paraId="26D7DE5A" w14:textId="77777777" w:rsidR="00992BB3" w:rsidRPr="00882E1E" w:rsidRDefault="00992BB3" w:rsidP="00882E1E">
      <w:pPr>
        <w:spacing w:after="120"/>
      </w:pPr>
      <w:r w:rsidRPr="001A1AE2">
        <w:rPr>
          <w:b/>
          <w:bCs/>
          <w:sz w:val="28"/>
          <w:szCs w:val="28"/>
        </w:rPr>
        <w:t>Description</w:t>
      </w:r>
      <w:r>
        <w:rPr>
          <w:b/>
          <w:bCs/>
          <w:sz w:val="28"/>
          <w:szCs w:val="28"/>
        </w:rPr>
        <w:t>:</w:t>
      </w:r>
    </w:p>
    <w:p w14:paraId="4279ED40" w14:textId="77777777" w:rsidR="00992BB3" w:rsidRDefault="00992BB3" w:rsidP="00882E1E">
      <w:pPr>
        <w:pStyle w:val="Bulletedlist"/>
      </w:pPr>
      <w:r w:rsidRPr="0008228C">
        <w:t xml:space="preserve">Also referred to as a “technical data steward” </w:t>
      </w:r>
    </w:p>
    <w:p w14:paraId="5A8F7FD3" w14:textId="77777777" w:rsidR="00992BB3" w:rsidRDefault="00992BB3" w:rsidP="00882E1E">
      <w:pPr>
        <w:pStyle w:val="Bulletedlist"/>
      </w:pPr>
      <w:r w:rsidRPr="0008228C">
        <w:t xml:space="preserve">A data custodian oversees the storage, transfer, and transport of data, ensuring that these processes adhere to the rules specified by the organization. </w:t>
      </w:r>
    </w:p>
    <w:p w14:paraId="4E2797BF" w14:textId="77777777" w:rsidR="00992BB3" w:rsidRDefault="00992BB3" w:rsidP="00882E1E">
      <w:pPr>
        <w:pStyle w:val="Bulletedlist"/>
      </w:pPr>
      <w:r w:rsidRPr="0008228C">
        <w:lastRenderedPageBreak/>
        <w:t xml:space="preserve">Data custodians take care of data and the databases where it is stored. </w:t>
      </w:r>
    </w:p>
    <w:p w14:paraId="5FF548E9" w14:textId="77777777" w:rsidR="00992BB3" w:rsidRDefault="00992BB3" w:rsidP="00882E1E">
      <w:pPr>
        <w:pStyle w:val="Bulletedlist"/>
      </w:pPr>
      <w:r w:rsidRPr="0008228C">
        <w:t xml:space="preserve">Typically, a database administrator </w:t>
      </w:r>
    </w:p>
    <w:p w14:paraId="5FFAFA45" w14:textId="77777777" w:rsidR="00992BB3" w:rsidRDefault="00992BB3" w:rsidP="00882E1E">
      <w:pPr>
        <w:pStyle w:val="Bulletedlist"/>
      </w:pPr>
      <w:r w:rsidRPr="0008228C">
        <w:t>Data custodians focus on the “how” instead of the “why” of data storage.</w:t>
      </w:r>
    </w:p>
    <w:p w14:paraId="3A600AEC" w14:textId="77777777" w:rsidR="00992BB3" w:rsidRDefault="00992BB3" w:rsidP="00CE1560"/>
    <w:p w14:paraId="118FE21E" w14:textId="77777777" w:rsidR="00992BB3" w:rsidRDefault="00992BB3" w:rsidP="00882E1E">
      <w:pPr>
        <w:spacing w:after="120"/>
      </w:pPr>
      <w:r w:rsidRPr="001A1AE2">
        <w:rPr>
          <w:b/>
          <w:bCs/>
          <w:sz w:val="28"/>
          <w:szCs w:val="28"/>
        </w:rPr>
        <w:t>Responsibilities</w:t>
      </w:r>
      <w:r>
        <w:rPr>
          <w:b/>
          <w:bCs/>
          <w:sz w:val="28"/>
          <w:szCs w:val="28"/>
        </w:rPr>
        <w:t>:</w:t>
      </w:r>
    </w:p>
    <w:p w14:paraId="57E25F54" w14:textId="77777777" w:rsidR="00992BB3" w:rsidRDefault="00992BB3" w:rsidP="00882E1E">
      <w:pPr>
        <w:pStyle w:val="Bulletedlist"/>
      </w:pPr>
      <w:r w:rsidRPr="00413A79">
        <w:t>Maintain physical and system security including physical security of servers and data user security as determined appropriate by the Data Stewards</w:t>
      </w:r>
    </w:p>
    <w:p w14:paraId="22700FD4" w14:textId="77777777" w:rsidR="00992BB3" w:rsidRDefault="00992BB3" w:rsidP="00882E1E">
      <w:pPr>
        <w:pStyle w:val="Bulletedlist"/>
      </w:pPr>
      <w:r w:rsidRPr="00413A79">
        <w:t>Structure or restructure a relational database system, work with middleware to serve a central data warehouse, or provide schemas or workflows that show how databases are structured</w:t>
      </w:r>
    </w:p>
    <w:p w14:paraId="401C0A96" w14:textId="77777777" w:rsidR="00992BB3" w:rsidRDefault="00992BB3" w:rsidP="00882E1E">
      <w:pPr>
        <w:pStyle w:val="Bulletedlist"/>
      </w:pPr>
      <w:r w:rsidRPr="00413A79">
        <w:t>Ensure adequate system backups and disaster recovery plans</w:t>
      </w:r>
    </w:p>
    <w:p w14:paraId="0ECEFCC7" w14:textId="77777777" w:rsidR="00992BB3" w:rsidRDefault="00992BB3" w:rsidP="00882E1E">
      <w:pPr>
        <w:pStyle w:val="Bulletedlist"/>
      </w:pPr>
      <w:r w:rsidRPr="00413A79">
        <w:t>Ensure adequate system response times and system availability</w:t>
      </w:r>
    </w:p>
    <w:p w14:paraId="40974273" w14:textId="0519B7C1" w:rsidR="00413A79" w:rsidRPr="00CE1560" w:rsidRDefault="00992BB3" w:rsidP="00882E1E">
      <w:pPr>
        <w:pStyle w:val="Bulletedlist"/>
      </w:pPr>
      <w:r w:rsidRPr="00413A79">
        <w:t>Manages information flow, operation of API’s, articulates technical data requirements to platform development teams.</w:t>
      </w:r>
    </w:p>
    <w:sectPr w:rsidR="00413A79" w:rsidRPr="00CE1560" w:rsidSect="00651105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F093E" w14:textId="77777777" w:rsidR="00B407CC" w:rsidRDefault="00B407CC" w:rsidP="00070F9D">
      <w:r>
        <w:separator/>
      </w:r>
    </w:p>
  </w:endnote>
  <w:endnote w:type="continuationSeparator" w:id="0">
    <w:p w14:paraId="0239B5E9" w14:textId="77777777" w:rsidR="00B407CC" w:rsidRDefault="00B407CC" w:rsidP="00070F9D">
      <w:r>
        <w:continuationSeparator/>
      </w:r>
    </w:p>
  </w:endnote>
  <w:endnote w:type="continuationNotice" w:id="1">
    <w:p w14:paraId="707D288C" w14:textId="77777777" w:rsidR="00B407CC" w:rsidRDefault="00B407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Rajdhani Medium">
    <w:altName w:val="Mangal"/>
    <w:charset w:val="4D"/>
    <w:family w:val="auto"/>
    <w:pitch w:val="variable"/>
    <w:sig w:usb0="00008007" w:usb1="00000000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69085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F26B60" w14:textId="01634BA5" w:rsidR="00631923" w:rsidRDefault="006319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73DD02" w14:textId="77777777" w:rsidR="00631923" w:rsidRDefault="006319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7635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313B4D" w14:textId="383834B0" w:rsidR="00631923" w:rsidRDefault="006319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12665E" w14:textId="72686945" w:rsidR="007B6A28" w:rsidRPr="008D1052" w:rsidRDefault="007B6A28" w:rsidP="004A4D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C80A8" w14:textId="77777777" w:rsidR="00B407CC" w:rsidRDefault="00B407CC" w:rsidP="00070F9D">
      <w:r>
        <w:separator/>
      </w:r>
    </w:p>
  </w:footnote>
  <w:footnote w:type="continuationSeparator" w:id="0">
    <w:p w14:paraId="278FCEC0" w14:textId="77777777" w:rsidR="00B407CC" w:rsidRDefault="00B407CC" w:rsidP="00070F9D">
      <w:r>
        <w:continuationSeparator/>
      </w:r>
    </w:p>
  </w:footnote>
  <w:footnote w:type="continuationNotice" w:id="1">
    <w:p w14:paraId="129EC1C2" w14:textId="77777777" w:rsidR="00B407CC" w:rsidRDefault="00B407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04EDE" w14:textId="56F90B57" w:rsidR="00E25E39" w:rsidRDefault="00E25E39" w:rsidP="00E25E39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1" behindDoc="0" locked="0" layoutInCell="1" allowOverlap="1" wp14:anchorId="7CE5B11D" wp14:editId="160E062B">
          <wp:simplePos x="0" y="0"/>
          <wp:positionH relativeFrom="column">
            <wp:posOffset>-666750</wp:posOffset>
          </wp:positionH>
          <wp:positionV relativeFrom="paragraph">
            <wp:posOffset>295275</wp:posOffset>
          </wp:positionV>
          <wp:extent cx="2838450" cy="687705"/>
          <wp:effectExtent l="0" t="0" r="0" b="0"/>
          <wp:wrapTopAndBottom/>
          <wp:docPr id="1113911887" name="Picture 2" descr="Office of Data Governance and Analytic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911887" name="Picture 2" descr="Office of Data Governance and Analytic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8450" cy="687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144E9E3A" wp14:editId="64EBFCFA">
          <wp:simplePos x="0" y="0"/>
          <wp:positionH relativeFrom="column">
            <wp:posOffset>5038725</wp:posOffset>
          </wp:positionH>
          <wp:positionV relativeFrom="page">
            <wp:posOffset>-685800</wp:posOffset>
          </wp:positionV>
          <wp:extent cx="1831340" cy="1863090"/>
          <wp:effectExtent l="0" t="0" r="0" b="3810"/>
          <wp:wrapThrough wrapText="bothSides">
            <wp:wrapPolygon edited="0">
              <wp:start x="0" y="0"/>
              <wp:lineTo x="0" y="9423"/>
              <wp:lineTo x="1049" y="9718"/>
              <wp:lineTo x="3146" y="11779"/>
              <wp:lineTo x="3146" y="12957"/>
              <wp:lineTo x="5692" y="14135"/>
              <wp:lineTo x="6591" y="16196"/>
              <wp:lineTo x="8089" y="16638"/>
              <wp:lineTo x="10186" y="18847"/>
              <wp:lineTo x="10785" y="21202"/>
              <wp:lineTo x="12882" y="21497"/>
              <wp:lineTo x="20671" y="21497"/>
              <wp:lineTo x="21270" y="21055"/>
              <wp:lineTo x="21420" y="12810"/>
              <wp:lineTo x="21270" y="12368"/>
              <wp:lineTo x="20671" y="11779"/>
              <wp:lineTo x="21420" y="11337"/>
              <wp:lineTo x="21420" y="0"/>
              <wp:lineTo x="0" y="0"/>
            </wp:wrapPolygon>
          </wp:wrapThrough>
          <wp:docPr id="2082029388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029388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1340" cy="186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EE986F" w14:textId="41F5AE39" w:rsidR="00A73A10" w:rsidRDefault="00A73A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C26C5"/>
    <w:multiLevelType w:val="hybridMultilevel"/>
    <w:tmpl w:val="3CBEA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72EDC"/>
    <w:multiLevelType w:val="hybridMultilevel"/>
    <w:tmpl w:val="BB5A0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558E0"/>
    <w:multiLevelType w:val="hybridMultilevel"/>
    <w:tmpl w:val="B3F43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349EE"/>
    <w:multiLevelType w:val="hybridMultilevel"/>
    <w:tmpl w:val="CC765160"/>
    <w:lvl w:ilvl="0" w:tplc="7D386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10974"/>
    <w:multiLevelType w:val="hybridMultilevel"/>
    <w:tmpl w:val="CBFE5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34AB2"/>
    <w:multiLevelType w:val="hybridMultilevel"/>
    <w:tmpl w:val="C548F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07366"/>
    <w:multiLevelType w:val="hybridMultilevel"/>
    <w:tmpl w:val="CC00A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816D3"/>
    <w:multiLevelType w:val="hybridMultilevel"/>
    <w:tmpl w:val="89A0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C5710"/>
    <w:multiLevelType w:val="hybridMultilevel"/>
    <w:tmpl w:val="9970D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06F8F"/>
    <w:multiLevelType w:val="hybridMultilevel"/>
    <w:tmpl w:val="BCE41A4E"/>
    <w:lvl w:ilvl="0" w:tplc="ABCEA17C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7B6E89"/>
    <w:multiLevelType w:val="hybridMultilevel"/>
    <w:tmpl w:val="D77C374C"/>
    <w:lvl w:ilvl="0" w:tplc="FDA66EB8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6310019">
    <w:abstractNumId w:val="0"/>
  </w:num>
  <w:num w:numId="2" w16cid:durableId="370762585">
    <w:abstractNumId w:val="3"/>
  </w:num>
  <w:num w:numId="3" w16cid:durableId="1388801911">
    <w:abstractNumId w:val="9"/>
  </w:num>
  <w:num w:numId="4" w16cid:durableId="465974341">
    <w:abstractNumId w:val="10"/>
  </w:num>
  <w:num w:numId="5" w16cid:durableId="454100784">
    <w:abstractNumId w:val="6"/>
  </w:num>
  <w:num w:numId="6" w16cid:durableId="768088074">
    <w:abstractNumId w:val="4"/>
  </w:num>
  <w:num w:numId="7" w16cid:durableId="2025013953">
    <w:abstractNumId w:val="1"/>
  </w:num>
  <w:num w:numId="8" w16cid:durableId="1777751560">
    <w:abstractNumId w:val="5"/>
  </w:num>
  <w:num w:numId="9" w16cid:durableId="1799103021">
    <w:abstractNumId w:val="7"/>
  </w:num>
  <w:num w:numId="10" w16cid:durableId="1457136097">
    <w:abstractNumId w:val="8"/>
  </w:num>
  <w:num w:numId="11" w16cid:durableId="597955818">
    <w:abstractNumId w:val="2"/>
  </w:num>
  <w:num w:numId="12" w16cid:durableId="719403251">
    <w:abstractNumId w:val="9"/>
  </w:num>
  <w:num w:numId="13" w16cid:durableId="596863219">
    <w:abstractNumId w:val="9"/>
  </w:num>
  <w:num w:numId="14" w16cid:durableId="21002549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58"/>
    <w:rsid w:val="00007084"/>
    <w:rsid w:val="00020529"/>
    <w:rsid w:val="00032D71"/>
    <w:rsid w:val="00052178"/>
    <w:rsid w:val="0006125D"/>
    <w:rsid w:val="0006440C"/>
    <w:rsid w:val="00070F9D"/>
    <w:rsid w:val="00077806"/>
    <w:rsid w:val="0008228C"/>
    <w:rsid w:val="00082FD9"/>
    <w:rsid w:val="0008389C"/>
    <w:rsid w:val="00083B96"/>
    <w:rsid w:val="000A1B7D"/>
    <w:rsid w:val="000A1CC4"/>
    <w:rsid w:val="000B60C8"/>
    <w:rsid w:val="000B667B"/>
    <w:rsid w:val="000D6D37"/>
    <w:rsid w:val="000D6F86"/>
    <w:rsid w:val="00103DB8"/>
    <w:rsid w:val="0011070B"/>
    <w:rsid w:val="001146E8"/>
    <w:rsid w:val="00117DEA"/>
    <w:rsid w:val="0012168E"/>
    <w:rsid w:val="0012639F"/>
    <w:rsid w:val="001379E0"/>
    <w:rsid w:val="00140564"/>
    <w:rsid w:val="00144B3F"/>
    <w:rsid w:val="00150E5B"/>
    <w:rsid w:val="001644BD"/>
    <w:rsid w:val="0017293C"/>
    <w:rsid w:val="00175A60"/>
    <w:rsid w:val="00187ADF"/>
    <w:rsid w:val="00194404"/>
    <w:rsid w:val="00195723"/>
    <w:rsid w:val="001A1AE2"/>
    <w:rsid w:val="001C5012"/>
    <w:rsid w:val="001C5097"/>
    <w:rsid w:val="001D72DF"/>
    <w:rsid w:val="001E2079"/>
    <w:rsid w:val="001F4577"/>
    <w:rsid w:val="00200316"/>
    <w:rsid w:val="002147FA"/>
    <w:rsid w:val="002355DF"/>
    <w:rsid w:val="0026677C"/>
    <w:rsid w:val="002800AA"/>
    <w:rsid w:val="00296287"/>
    <w:rsid w:val="00296890"/>
    <w:rsid w:val="002A2AA9"/>
    <w:rsid w:val="002D124A"/>
    <w:rsid w:val="002D3ABD"/>
    <w:rsid w:val="002D742B"/>
    <w:rsid w:val="002D7CA3"/>
    <w:rsid w:val="002E414C"/>
    <w:rsid w:val="002E7B15"/>
    <w:rsid w:val="002F6240"/>
    <w:rsid w:val="003143FC"/>
    <w:rsid w:val="00332E1C"/>
    <w:rsid w:val="0034175E"/>
    <w:rsid w:val="00343ED9"/>
    <w:rsid w:val="00365831"/>
    <w:rsid w:val="00366CC5"/>
    <w:rsid w:val="00374F6F"/>
    <w:rsid w:val="00377362"/>
    <w:rsid w:val="003B161A"/>
    <w:rsid w:val="003B5722"/>
    <w:rsid w:val="003D5807"/>
    <w:rsid w:val="003F6291"/>
    <w:rsid w:val="00405F8E"/>
    <w:rsid w:val="00407905"/>
    <w:rsid w:val="00410B3B"/>
    <w:rsid w:val="00413A79"/>
    <w:rsid w:val="00414B6B"/>
    <w:rsid w:val="00415FB7"/>
    <w:rsid w:val="004179FB"/>
    <w:rsid w:val="00443A93"/>
    <w:rsid w:val="0044404F"/>
    <w:rsid w:val="00445F16"/>
    <w:rsid w:val="0044743E"/>
    <w:rsid w:val="0045751C"/>
    <w:rsid w:val="00460EFC"/>
    <w:rsid w:val="004807FE"/>
    <w:rsid w:val="0049338A"/>
    <w:rsid w:val="004A4D27"/>
    <w:rsid w:val="004B2C4E"/>
    <w:rsid w:val="004B3E53"/>
    <w:rsid w:val="004B666C"/>
    <w:rsid w:val="004E2F0A"/>
    <w:rsid w:val="004F32DD"/>
    <w:rsid w:val="0050226E"/>
    <w:rsid w:val="00521ADA"/>
    <w:rsid w:val="00521EB9"/>
    <w:rsid w:val="0052622A"/>
    <w:rsid w:val="00527206"/>
    <w:rsid w:val="0053583D"/>
    <w:rsid w:val="00541891"/>
    <w:rsid w:val="00545BA5"/>
    <w:rsid w:val="00560082"/>
    <w:rsid w:val="00564B7E"/>
    <w:rsid w:val="005672CA"/>
    <w:rsid w:val="00571464"/>
    <w:rsid w:val="00591ADF"/>
    <w:rsid w:val="005A3D10"/>
    <w:rsid w:val="005B0E53"/>
    <w:rsid w:val="005B7BB1"/>
    <w:rsid w:val="005D15DA"/>
    <w:rsid w:val="005E29E6"/>
    <w:rsid w:val="005E5810"/>
    <w:rsid w:val="005F2CF0"/>
    <w:rsid w:val="00611047"/>
    <w:rsid w:val="00617B44"/>
    <w:rsid w:val="00622CAB"/>
    <w:rsid w:val="0062467D"/>
    <w:rsid w:val="00625FA6"/>
    <w:rsid w:val="00626394"/>
    <w:rsid w:val="00631923"/>
    <w:rsid w:val="00642758"/>
    <w:rsid w:val="00646EF4"/>
    <w:rsid w:val="006470D8"/>
    <w:rsid w:val="00651105"/>
    <w:rsid w:val="00657A10"/>
    <w:rsid w:val="006C2571"/>
    <w:rsid w:val="006D4648"/>
    <w:rsid w:val="006D6ACE"/>
    <w:rsid w:val="006E5849"/>
    <w:rsid w:val="006F0E21"/>
    <w:rsid w:val="006F363B"/>
    <w:rsid w:val="00704465"/>
    <w:rsid w:val="007233F9"/>
    <w:rsid w:val="007533F6"/>
    <w:rsid w:val="00754A8B"/>
    <w:rsid w:val="00760603"/>
    <w:rsid w:val="00763055"/>
    <w:rsid w:val="00796D1A"/>
    <w:rsid w:val="007A4D10"/>
    <w:rsid w:val="007B08C0"/>
    <w:rsid w:val="007B6A28"/>
    <w:rsid w:val="007D0D50"/>
    <w:rsid w:val="007F3A19"/>
    <w:rsid w:val="00807F0E"/>
    <w:rsid w:val="00817509"/>
    <w:rsid w:val="008243A4"/>
    <w:rsid w:val="00826208"/>
    <w:rsid w:val="008271D1"/>
    <w:rsid w:val="00870799"/>
    <w:rsid w:val="008723C5"/>
    <w:rsid w:val="00873BA0"/>
    <w:rsid w:val="0087692B"/>
    <w:rsid w:val="00882E1E"/>
    <w:rsid w:val="008D1052"/>
    <w:rsid w:val="008D62D1"/>
    <w:rsid w:val="008E4AAC"/>
    <w:rsid w:val="008F0064"/>
    <w:rsid w:val="008F122D"/>
    <w:rsid w:val="008F21BB"/>
    <w:rsid w:val="008F25CA"/>
    <w:rsid w:val="008F44E3"/>
    <w:rsid w:val="008F72D9"/>
    <w:rsid w:val="00900A71"/>
    <w:rsid w:val="00944941"/>
    <w:rsid w:val="00945073"/>
    <w:rsid w:val="00951BE6"/>
    <w:rsid w:val="00992BB3"/>
    <w:rsid w:val="00996D57"/>
    <w:rsid w:val="00996D6D"/>
    <w:rsid w:val="009C0125"/>
    <w:rsid w:val="009C1082"/>
    <w:rsid w:val="009F2508"/>
    <w:rsid w:val="00A012C5"/>
    <w:rsid w:val="00A32F7C"/>
    <w:rsid w:val="00A534C0"/>
    <w:rsid w:val="00A73A10"/>
    <w:rsid w:val="00A95619"/>
    <w:rsid w:val="00AA636E"/>
    <w:rsid w:val="00AB41B0"/>
    <w:rsid w:val="00AB7EDE"/>
    <w:rsid w:val="00AD63B8"/>
    <w:rsid w:val="00B07697"/>
    <w:rsid w:val="00B264CB"/>
    <w:rsid w:val="00B33FE6"/>
    <w:rsid w:val="00B407CC"/>
    <w:rsid w:val="00B50214"/>
    <w:rsid w:val="00BB28DD"/>
    <w:rsid w:val="00BE2DD1"/>
    <w:rsid w:val="00BE478D"/>
    <w:rsid w:val="00BF3EC7"/>
    <w:rsid w:val="00BF4008"/>
    <w:rsid w:val="00BF4807"/>
    <w:rsid w:val="00C10069"/>
    <w:rsid w:val="00C146D8"/>
    <w:rsid w:val="00C430B2"/>
    <w:rsid w:val="00C457FD"/>
    <w:rsid w:val="00CC43AA"/>
    <w:rsid w:val="00CC4EB2"/>
    <w:rsid w:val="00CD599B"/>
    <w:rsid w:val="00CE1560"/>
    <w:rsid w:val="00CE71AA"/>
    <w:rsid w:val="00D070E3"/>
    <w:rsid w:val="00D129EC"/>
    <w:rsid w:val="00D237D3"/>
    <w:rsid w:val="00D308E9"/>
    <w:rsid w:val="00D33D67"/>
    <w:rsid w:val="00D50FEC"/>
    <w:rsid w:val="00D559EE"/>
    <w:rsid w:val="00D57EF0"/>
    <w:rsid w:val="00D70E88"/>
    <w:rsid w:val="00D75E96"/>
    <w:rsid w:val="00D80017"/>
    <w:rsid w:val="00DC775E"/>
    <w:rsid w:val="00E1380B"/>
    <w:rsid w:val="00E20E4A"/>
    <w:rsid w:val="00E25E39"/>
    <w:rsid w:val="00E55054"/>
    <w:rsid w:val="00E66EB2"/>
    <w:rsid w:val="00E81C56"/>
    <w:rsid w:val="00E901DD"/>
    <w:rsid w:val="00EA6A0C"/>
    <w:rsid w:val="00EB57A3"/>
    <w:rsid w:val="00EC6394"/>
    <w:rsid w:val="00ED3013"/>
    <w:rsid w:val="00EF6026"/>
    <w:rsid w:val="00EF7A2D"/>
    <w:rsid w:val="00F02E07"/>
    <w:rsid w:val="00F06D98"/>
    <w:rsid w:val="00F135BB"/>
    <w:rsid w:val="00F306C2"/>
    <w:rsid w:val="00F42609"/>
    <w:rsid w:val="00F5462D"/>
    <w:rsid w:val="00F61775"/>
    <w:rsid w:val="00F9233B"/>
    <w:rsid w:val="00F95C07"/>
    <w:rsid w:val="00F97733"/>
    <w:rsid w:val="00FA1425"/>
    <w:rsid w:val="00FA7C8D"/>
    <w:rsid w:val="00FD2514"/>
    <w:rsid w:val="00FE3CD3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54A31"/>
  <w15:chartTrackingRefBased/>
  <w15:docId w15:val="{C300A2A5-E8BB-B84F-A120-5411BCBB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758"/>
    <w:rPr>
      <w:rFonts w:ascii="Roboto" w:hAnsi="Robo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32DD"/>
    <w:pPr>
      <w:keepNext/>
      <w:keepLines/>
      <w:spacing w:before="360" w:after="80"/>
      <w:outlineLvl w:val="0"/>
    </w:pPr>
    <w:rPr>
      <w:rFonts w:ascii="Montserrat" w:eastAsiaTheme="majorEastAsia" w:hAnsi="Montserrat" w:cstheme="majorBidi"/>
      <w:b/>
      <w:color w:val="075A83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25CA"/>
    <w:pPr>
      <w:keepNext/>
      <w:keepLines/>
      <w:spacing w:before="160" w:after="80"/>
      <w:outlineLvl w:val="1"/>
    </w:pPr>
    <w:rPr>
      <w:rFonts w:ascii="Montserrat" w:eastAsiaTheme="majorEastAsia" w:hAnsi="Montserrat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25CA"/>
    <w:pPr>
      <w:keepNext/>
      <w:keepLines/>
      <w:spacing w:before="160" w:after="80"/>
      <w:outlineLvl w:val="2"/>
    </w:pPr>
    <w:rPr>
      <w:rFonts w:ascii="Montserrat" w:eastAsiaTheme="majorEastAsia" w:hAnsi="Montserrat" w:cstheme="majorBidi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6394"/>
    <w:pPr>
      <w:keepNext/>
      <w:keepLines/>
      <w:spacing w:before="80" w:after="40"/>
      <w:outlineLvl w:val="3"/>
    </w:pPr>
    <w:rPr>
      <w:rFonts w:ascii="Montserrat" w:eastAsiaTheme="majorEastAsia" w:hAnsi="Montserrat" w:cstheme="majorBidi"/>
      <w:b/>
      <w:iCs/>
      <w:color w:val="173055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C6394"/>
    <w:pPr>
      <w:keepNext/>
      <w:keepLines/>
      <w:spacing w:before="80" w:after="40"/>
      <w:outlineLvl w:val="4"/>
    </w:pPr>
    <w:rPr>
      <w:rFonts w:ascii="Montserrat" w:eastAsiaTheme="majorEastAsia" w:hAnsi="Montserrat" w:cstheme="majorBidi"/>
      <w:color w:val="05436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2758"/>
    <w:pPr>
      <w:keepNext/>
      <w:keepLines/>
      <w:spacing w:before="40"/>
      <w:outlineLvl w:val="5"/>
    </w:pPr>
    <w:rPr>
      <w:rFonts w:eastAsiaTheme="majorEastAsia" w:cstheme="majorBidi"/>
      <w:i/>
      <w:iCs/>
      <w:color w:val="356DC3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2758"/>
    <w:pPr>
      <w:keepNext/>
      <w:keepLines/>
      <w:spacing w:before="40"/>
      <w:outlineLvl w:val="6"/>
    </w:pPr>
    <w:rPr>
      <w:rFonts w:eastAsiaTheme="majorEastAsia" w:cstheme="majorBidi"/>
      <w:color w:val="356DC3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758"/>
    <w:pPr>
      <w:keepNext/>
      <w:keepLines/>
      <w:outlineLvl w:val="7"/>
    </w:pPr>
    <w:rPr>
      <w:rFonts w:eastAsiaTheme="majorEastAsia" w:cstheme="majorBidi"/>
      <w:i/>
      <w:iCs/>
      <w:color w:val="244A85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758"/>
    <w:pPr>
      <w:keepNext/>
      <w:keepLines/>
      <w:outlineLvl w:val="8"/>
    </w:pPr>
    <w:rPr>
      <w:rFonts w:eastAsiaTheme="majorEastAsia" w:cstheme="majorBidi"/>
      <w:color w:val="244A85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2DD"/>
    <w:rPr>
      <w:rFonts w:ascii="Montserrat" w:eastAsiaTheme="majorEastAsia" w:hAnsi="Montserrat" w:cstheme="majorBidi"/>
      <w:b/>
      <w:color w:val="075A83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F25C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F25CA"/>
    <w:rPr>
      <w:rFonts w:ascii="Montserrat" w:eastAsiaTheme="majorEastAsia" w:hAnsi="Montserrat" w:cstheme="majorBid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C6394"/>
    <w:rPr>
      <w:rFonts w:ascii="Montserrat" w:eastAsiaTheme="majorEastAsia" w:hAnsi="Montserrat" w:cstheme="majorBidi"/>
      <w:b/>
      <w:iCs/>
      <w:color w:val="173055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EC6394"/>
    <w:rPr>
      <w:rFonts w:ascii="Montserrat" w:eastAsiaTheme="majorEastAsia" w:hAnsi="Montserrat" w:cstheme="majorBidi"/>
      <w:color w:val="05436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2758"/>
    <w:rPr>
      <w:rFonts w:eastAsiaTheme="majorEastAsia" w:cstheme="majorBidi"/>
      <w:i/>
      <w:iCs/>
      <w:color w:val="356DC3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2758"/>
    <w:rPr>
      <w:rFonts w:eastAsiaTheme="majorEastAsia" w:cstheme="majorBidi"/>
      <w:color w:val="356DC3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2758"/>
    <w:rPr>
      <w:rFonts w:eastAsiaTheme="majorEastAsia" w:cstheme="majorBidi"/>
      <w:i/>
      <w:iCs/>
      <w:color w:val="244A85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758"/>
    <w:rPr>
      <w:rFonts w:eastAsiaTheme="majorEastAsia" w:cstheme="majorBidi"/>
      <w:color w:val="244A85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32DD"/>
    <w:pPr>
      <w:spacing w:after="80"/>
      <w:contextualSpacing/>
    </w:pPr>
    <w:rPr>
      <w:rFonts w:ascii="Montserrat" w:eastAsiaTheme="majorEastAsia" w:hAnsi="Montserrat" w:cstheme="majorBidi"/>
      <w:b/>
      <w:color w:val="075A83" w:themeColor="accent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32DD"/>
    <w:rPr>
      <w:rFonts w:ascii="Montserrat" w:eastAsiaTheme="majorEastAsia" w:hAnsi="Montserrat" w:cstheme="majorBidi"/>
      <w:b/>
      <w:color w:val="075A83" w:themeColor="accent1"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394"/>
    <w:pPr>
      <w:numPr>
        <w:ilvl w:val="1"/>
      </w:numPr>
      <w:spacing w:after="160"/>
    </w:pPr>
    <w:rPr>
      <w:rFonts w:ascii="Montserrat" w:eastAsiaTheme="majorEastAsia" w:hAnsi="Montserrat" w:cstheme="majorBidi"/>
      <w:b/>
      <w:color w:val="49443D" w:themeColor="text2"/>
      <w:spacing w:val="15"/>
      <w:sz w:val="4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6394"/>
    <w:rPr>
      <w:rFonts w:ascii="Montserrat" w:eastAsiaTheme="majorEastAsia" w:hAnsi="Montserrat" w:cstheme="majorBidi"/>
      <w:b/>
      <w:color w:val="49443D" w:themeColor="text2"/>
      <w:spacing w:val="15"/>
      <w:sz w:val="4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39F"/>
    <w:pPr>
      <w:spacing w:before="160" w:after="160"/>
      <w:jc w:val="center"/>
    </w:pPr>
    <w:rPr>
      <w:i/>
      <w:iCs/>
      <w:color w:val="49443D"/>
    </w:rPr>
  </w:style>
  <w:style w:type="character" w:customStyle="1" w:styleId="QuoteChar">
    <w:name w:val="Quote Char"/>
    <w:basedOn w:val="DefaultParagraphFont"/>
    <w:link w:val="Quote"/>
    <w:uiPriority w:val="29"/>
    <w:rsid w:val="0012639F"/>
    <w:rPr>
      <w:rFonts w:ascii="Roboto" w:hAnsi="Roboto"/>
      <w:i/>
      <w:iCs/>
      <w:color w:val="49443D"/>
    </w:rPr>
  </w:style>
  <w:style w:type="paragraph" w:styleId="ListParagraph">
    <w:name w:val="List Paragraph"/>
    <w:basedOn w:val="Normal"/>
    <w:uiPriority w:val="34"/>
    <w:qFormat/>
    <w:rsid w:val="006427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2758"/>
    <w:rPr>
      <w:i/>
      <w:iCs/>
      <w:color w:val="05436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394"/>
    <w:pPr>
      <w:pBdr>
        <w:top w:val="single" w:sz="4" w:space="10" w:color="054362" w:themeColor="accent1" w:themeShade="BF"/>
        <w:bottom w:val="single" w:sz="4" w:space="10" w:color="054362" w:themeColor="accent1" w:themeShade="BF"/>
      </w:pBdr>
      <w:spacing w:before="360" w:after="360"/>
      <w:ind w:left="864" w:right="864"/>
      <w:jc w:val="center"/>
    </w:pPr>
    <w:rPr>
      <w:i/>
      <w:iCs/>
      <w:color w:val="173055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394"/>
    <w:rPr>
      <w:rFonts w:ascii="Roboto" w:hAnsi="Roboto"/>
      <w:i/>
      <w:iCs/>
      <w:color w:val="173055" w:themeColor="text1"/>
    </w:rPr>
  </w:style>
  <w:style w:type="character" w:styleId="IntenseReference">
    <w:name w:val="Intense Reference"/>
    <w:basedOn w:val="DefaultParagraphFont"/>
    <w:uiPriority w:val="32"/>
    <w:qFormat/>
    <w:rsid w:val="00642758"/>
    <w:rPr>
      <w:b/>
      <w:bCs/>
      <w:smallCaps/>
      <w:color w:val="05436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0F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F9D"/>
    <w:rPr>
      <w:rFonts w:ascii="Roboto" w:hAnsi="Roboto"/>
    </w:rPr>
  </w:style>
  <w:style w:type="paragraph" w:styleId="Footer">
    <w:name w:val="footer"/>
    <w:basedOn w:val="Normal"/>
    <w:link w:val="FooterChar"/>
    <w:uiPriority w:val="99"/>
    <w:unhideWhenUsed/>
    <w:rsid w:val="00A534C0"/>
    <w:pPr>
      <w:tabs>
        <w:tab w:val="center" w:pos="4680"/>
        <w:tab w:val="right" w:pos="9360"/>
      </w:tabs>
    </w:pPr>
    <w:rPr>
      <w:color w:val="173055" w:themeColor="text1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534C0"/>
    <w:rPr>
      <w:rFonts w:ascii="Roboto" w:hAnsi="Roboto"/>
      <w:color w:val="173055" w:themeColor="text1"/>
      <w:sz w:val="22"/>
    </w:rPr>
  </w:style>
  <w:style w:type="paragraph" w:customStyle="1" w:styleId="paragraph">
    <w:name w:val="paragraph"/>
    <w:basedOn w:val="Normal"/>
    <w:rsid w:val="00070F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070F9D"/>
  </w:style>
  <w:style w:type="character" w:customStyle="1" w:styleId="eop">
    <w:name w:val="eop"/>
    <w:basedOn w:val="DefaultParagraphFont"/>
    <w:rsid w:val="00070F9D"/>
  </w:style>
  <w:style w:type="table" w:styleId="TableGrid">
    <w:name w:val="Table Grid"/>
    <w:basedOn w:val="TableNormal"/>
    <w:uiPriority w:val="39"/>
    <w:rsid w:val="00070F9D"/>
    <w:tblPr>
      <w:tblBorders>
        <w:top w:val="single" w:sz="4" w:space="0" w:color="173055" w:themeColor="text1"/>
        <w:left w:val="single" w:sz="4" w:space="0" w:color="173055" w:themeColor="text1"/>
        <w:bottom w:val="single" w:sz="4" w:space="0" w:color="173055" w:themeColor="text1"/>
        <w:right w:val="single" w:sz="4" w:space="0" w:color="173055" w:themeColor="text1"/>
        <w:insideH w:val="single" w:sz="4" w:space="0" w:color="173055" w:themeColor="text1"/>
        <w:insideV w:val="single" w:sz="4" w:space="0" w:color="173055" w:themeColor="text1"/>
      </w:tblBorders>
    </w:tblPr>
  </w:style>
  <w:style w:type="character" w:styleId="SubtleEmphasis">
    <w:name w:val="Subtle Emphasis"/>
    <w:aliases w:val="Title page - Author"/>
    <w:uiPriority w:val="19"/>
    <w:qFormat/>
    <w:rsid w:val="00EC6394"/>
    <w:rPr>
      <w:rFonts w:ascii="Montserrat" w:hAnsi="Montserrat" w:cs="Rajdhani Medium"/>
      <w:b/>
      <w:color w:val="075A83" w:themeColor="accent1"/>
      <w:sz w:val="40"/>
    </w:rPr>
  </w:style>
  <w:style w:type="paragraph" w:styleId="NoSpacing">
    <w:name w:val="No Spacing"/>
    <w:uiPriority w:val="99"/>
    <w:qFormat/>
    <w:rsid w:val="009C1082"/>
    <w:pPr>
      <w:widowControl w:val="0"/>
    </w:pPr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EC6394"/>
    <w:pPr>
      <w:spacing w:before="480" w:after="0" w:line="276" w:lineRule="auto"/>
      <w:outlineLvl w:val="9"/>
    </w:pPr>
    <w:rPr>
      <w:bCs/>
      <w:color w:val="054362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440C"/>
    <w:pPr>
      <w:spacing w:before="120" w:after="120"/>
    </w:pPr>
    <w:rPr>
      <w:rFonts w:cs="Times New Roman (Body CS)"/>
      <w:b/>
      <w:bCs/>
      <w:sz w:val="28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6440C"/>
    <w:pPr>
      <w:ind w:left="480"/>
    </w:pPr>
    <w:rPr>
      <w:rFonts w:cs="Times New Roman (Body CS)"/>
      <w:i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6440C"/>
    <w:pPr>
      <w:ind w:left="240"/>
    </w:pPr>
    <w:rPr>
      <w:rFonts w:cs="Times New Roman (Body CS)"/>
      <w:szCs w:val="20"/>
    </w:rPr>
  </w:style>
  <w:style w:type="character" w:styleId="Hyperlink">
    <w:name w:val="Hyperlink"/>
    <w:basedOn w:val="DefaultParagraphFont"/>
    <w:uiPriority w:val="99"/>
    <w:unhideWhenUsed/>
    <w:rsid w:val="0045751C"/>
    <w:rPr>
      <w:color w:val="0070C0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5751C"/>
    <w:pPr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5751C"/>
    <w:pPr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5751C"/>
    <w:pPr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5751C"/>
    <w:pPr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5751C"/>
    <w:pPr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5751C"/>
    <w:pPr>
      <w:ind w:left="1920"/>
    </w:pPr>
    <w:rPr>
      <w:rFonts w:asciiTheme="minorHAnsi" w:hAnsiTheme="minorHAns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4B666C"/>
    <w:pPr>
      <w:widowControl w:val="0"/>
      <w:spacing w:after="120" w:line="300" w:lineRule="exact"/>
      <w:ind w:left="144"/>
    </w:pPr>
    <w:rPr>
      <w:rFonts w:eastAsia="Verdana"/>
      <w:color w:val="414042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B666C"/>
    <w:rPr>
      <w:rFonts w:ascii="Roboto" w:eastAsia="Verdana" w:hAnsi="Roboto"/>
      <w:color w:val="414042"/>
      <w:sz w:val="22"/>
      <w:szCs w:val="20"/>
    </w:rPr>
  </w:style>
  <w:style w:type="paragraph" w:customStyle="1" w:styleId="Bulletedlist">
    <w:name w:val="Bulleted list"/>
    <w:basedOn w:val="BodyText"/>
    <w:link w:val="BulletedlistChar"/>
    <w:uiPriority w:val="1"/>
    <w:qFormat/>
    <w:rsid w:val="00BF4008"/>
    <w:pPr>
      <w:numPr>
        <w:numId w:val="3"/>
      </w:numPr>
    </w:pPr>
    <w:rPr>
      <w:color w:val="auto"/>
      <w:sz w:val="24"/>
      <w:szCs w:val="22"/>
    </w:rPr>
  </w:style>
  <w:style w:type="paragraph" w:customStyle="1" w:styleId="Numberedlist">
    <w:name w:val="Numbered list"/>
    <w:basedOn w:val="BodyText"/>
    <w:link w:val="NumberedlistChar"/>
    <w:uiPriority w:val="1"/>
    <w:qFormat/>
    <w:rsid w:val="004B666C"/>
    <w:pPr>
      <w:numPr>
        <w:numId w:val="4"/>
      </w:numPr>
      <w:spacing w:after="240"/>
    </w:pPr>
    <w:rPr>
      <w:sz w:val="24"/>
    </w:rPr>
  </w:style>
  <w:style w:type="character" w:customStyle="1" w:styleId="BulletedlistChar">
    <w:name w:val="Bulleted list Char"/>
    <w:basedOn w:val="BodyTextChar"/>
    <w:link w:val="Bulletedlist"/>
    <w:uiPriority w:val="1"/>
    <w:rsid w:val="00BF4008"/>
    <w:rPr>
      <w:rFonts w:ascii="Roboto" w:eastAsia="Verdana" w:hAnsi="Roboto"/>
      <w:color w:val="414042"/>
      <w:sz w:val="22"/>
      <w:szCs w:val="22"/>
    </w:rPr>
  </w:style>
  <w:style w:type="character" w:customStyle="1" w:styleId="NumberedlistChar">
    <w:name w:val="Numbered list Char"/>
    <w:basedOn w:val="BodyTextChar"/>
    <w:link w:val="Numberedlist"/>
    <w:uiPriority w:val="1"/>
    <w:rsid w:val="004B666C"/>
    <w:rPr>
      <w:rFonts w:ascii="Roboto" w:eastAsia="Verdana" w:hAnsi="Roboto"/>
      <w:color w:val="414042"/>
      <w:sz w:val="22"/>
      <w:szCs w:val="20"/>
    </w:rPr>
  </w:style>
  <w:style w:type="paragraph" w:customStyle="1" w:styleId="Footnote">
    <w:name w:val="Footnote"/>
    <w:basedOn w:val="FootnoteText"/>
    <w:link w:val="FootnoteChar"/>
    <w:uiPriority w:val="1"/>
    <w:qFormat/>
    <w:rsid w:val="004B666C"/>
    <w:pPr>
      <w:widowControl w:val="0"/>
      <w:spacing w:before="120"/>
    </w:pPr>
    <w:rPr>
      <w:color w:val="414042"/>
    </w:rPr>
  </w:style>
  <w:style w:type="character" w:customStyle="1" w:styleId="FootnoteChar">
    <w:name w:val="Footnote Char"/>
    <w:basedOn w:val="FootnoteTextChar"/>
    <w:link w:val="Footnote"/>
    <w:uiPriority w:val="1"/>
    <w:rsid w:val="004B666C"/>
    <w:rPr>
      <w:rFonts w:ascii="Roboto" w:hAnsi="Roboto"/>
      <w:color w:val="414042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66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666C"/>
    <w:rPr>
      <w:rFonts w:ascii="Roboto" w:hAnsi="Roboto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B666C"/>
    <w:rPr>
      <w:rFonts w:ascii="Roboto" w:hAnsi="Roboto"/>
      <w:i/>
      <w:iCs/>
    </w:rPr>
  </w:style>
  <w:style w:type="paragraph" w:customStyle="1" w:styleId="TipText">
    <w:name w:val="Tip Text"/>
    <w:basedOn w:val="Normal"/>
    <w:uiPriority w:val="99"/>
    <w:rsid w:val="00AB7EDE"/>
    <w:pPr>
      <w:spacing w:before="160" w:after="160" w:line="264" w:lineRule="auto"/>
      <w:ind w:right="576"/>
    </w:pPr>
    <w:rPr>
      <w:rFonts w:eastAsiaTheme="majorEastAsia" w:cstheme="majorBidi"/>
      <w:i/>
      <w:iCs/>
      <w:color w:val="075A83" w:themeColor="accent1"/>
      <w:szCs w:val="16"/>
      <w:lang w:eastAsia="ja-JP"/>
    </w:rPr>
  </w:style>
  <w:style w:type="paragraph" w:customStyle="1" w:styleId="Icon">
    <w:name w:val="Icon"/>
    <w:basedOn w:val="Normal"/>
    <w:uiPriority w:val="99"/>
    <w:unhideWhenUsed/>
    <w:qFormat/>
    <w:rsid w:val="004807FE"/>
    <w:pPr>
      <w:spacing w:before="160" w:after="160"/>
      <w:jc w:val="center"/>
    </w:pPr>
    <w:rPr>
      <w:rFonts w:asciiTheme="minorHAnsi" w:eastAsiaTheme="minorEastAsia" w:hAnsiTheme="minorHAnsi"/>
      <w:color w:val="49443D" w:themeColor="text2"/>
      <w:sz w:val="20"/>
      <w:szCs w:val="20"/>
      <w:lang w:eastAsia="ja-JP"/>
    </w:rPr>
  </w:style>
  <w:style w:type="paragraph" w:customStyle="1" w:styleId="Graphtitle">
    <w:name w:val="Graph title"/>
    <w:basedOn w:val="Heading2"/>
    <w:qFormat/>
    <w:rsid w:val="00D308E9"/>
    <w:rPr>
      <w:noProof/>
      <w:color w:val="075A83" w:themeColor="accent1"/>
      <w:sz w:val="28"/>
    </w:rPr>
  </w:style>
  <w:style w:type="paragraph" w:customStyle="1" w:styleId="Graph-Axislabels">
    <w:name w:val="Graph - Axis labels"/>
    <w:basedOn w:val="Graphtitle"/>
    <w:qFormat/>
    <w:rsid w:val="00C457FD"/>
    <w:rPr>
      <w:color w:val="auto"/>
      <w:sz w:val="24"/>
    </w:rPr>
  </w:style>
  <w:style w:type="paragraph" w:customStyle="1" w:styleId="Graph-categories">
    <w:name w:val="Graph - categories"/>
    <w:basedOn w:val="Graph-Axislabels"/>
    <w:qFormat/>
    <w:rsid w:val="00A95619"/>
  </w:style>
  <w:style w:type="paragraph" w:customStyle="1" w:styleId="Graph-values">
    <w:name w:val="Graph- values"/>
    <w:basedOn w:val="Graph-categories"/>
    <w:qFormat/>
    <w:rsid w:val="002D7CA3"/>
    <w:rPr>
      <w:b w:val="0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8D1052"/>
  </w:style>
  <w:style w:type="character" w:styleId="SubtleReference">
    <w:name w:val="Subtle Reference"/>
    <w:basedOn w:val="DefaultParagraphFont"/>
    <w:uiPriority w:val="31"/>
    <w:qFormat/>
    <w:rsid w:val="007233F9"/>
    <w:rPr>
      <w:smallCaps/>
      <w:color w:val="075A83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DGA Brand">
      <a:dk1>
        <a:srgbClr val="173055"/>
      </a:dk1>
      <a:lt1>
        <a:sysClr val="window" lastClr="FFFFFF"/>
      </a:lt1>
      <a:dk2>
        <a:srgbClr val="49443D"/>
      </a:dk2>
      <a:lt2>
        <a:srgbClr val="EEEEED"/>
      </a:lt2>
      <a:accent1>
        <a:srgbClr val="075A83"/>
      </a:accent1>
      <a:accent2>
        <a:srgbClr val="78C1B1"/>
      </a:accent2>
      <a:accent3>
        <a:srgbClr val="989796"/>
      </a:accent3>
      <a:accent4>
        <a:srgbClr val="DDF7F1"/>
      </a:accent4>
      <a:accent5>
        <a:srgbClr val="FCD371"/>
      </a:accent5>
      <a:accent6>
        <a:srgbClr val="5BB5E2"/>
      </a:accent6>
      <a:hlink>
        <a:srgbClr val="0070C0"/>
      </a:hlink>
      <a:folHlink>
        <a:srgbClr val="7030A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dded xmlns="a690f868-be40-44d3-b370-b75dd933f91c" xsi:nil="true"/>
    <lcf76f155ced4ddcb4097134ff3c332f xmlns="a690f868-be40-44d3-b370-b75dd933f91c">
      <Terms xmlns="http://schemas.microsoft.com/office/infopath/2007/PartnerControls"/>
    </lcf76f155ced4ddcb4097134ff3c332f>
    <TaxCatchAll xmlns="0c818019-87b5-4f7c-bd0d-839f5f432f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4724CF556B34FA421EB839F8B6A39" ma:contentTypeVersion="12" ma:contentTypeDescription="Create a new document." ma:contentTypeScope="" ma:versionID="323f8ba7db6841908a61ab9addbc739c">
  <xsd:schema xmlns:xsd="http://www.w3.org/2001/XMLSchema" xmlns:xs="http://www.w3.org/2001/XMLSchema" xmlns:p="http://schemas.microsoft.com/office/2006/metadata/properties" xmlns:ns2="a690f868-be40-44d3-b370-b75dd933f91c" xmlns:ns3="0c818019-87b5-4f7c-bd0d-839f5f432f29" targetNamespace="http://schemas.microsoft.com/office/2006/metadata/properties" ma:root="true" ma:fieldsID="0e6e8d01323d298107402fa4fb6610ec" ns2:_="" ns3:_="">
    <xsd:import namespace="a690f868-be40-44d3-b370-b75dd933f91c"/>
    <xsd:import namespace="0c818019-87b5-4f7c-bd0d-839f5f432f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ateadded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0f868-be40-44d3-b370-b75dd933f9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added" ma:index="12" nillable="true" ma:displayName="Date added" ma:format="DateOnly" ma:internalName="Dateadded">
      <xsd:simpleType>
        <xsd:restriction base="dms:DateTim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18019-87b5-4f7c-bd0d-839f5f432f2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d41fa1f-1a38-49c8-b1d2-d69c44cb5eb7}" ma:internalName="TaxCatchAll" ma:showField="CatchAllData" ma:web="0c818019-87b5-4f7c-bd0d-839f5f432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A6076C-9D9E-4F3D-9729-AF7BD69B85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23A21-C1D5-479D-AAD3-893710F2BAE4}">
  <ds:schemaRefs>
    <ds:schemaRef ds:uri="http://schemas.microsoft.com/office/2006/metadata/properties"/>
    <ds:schemaRef ds:uri="http://schemas.microsoft.com/office/infopath/2007/PartnerControls"/>
    <ds:schemaRef ds:uri="a690f868-be40-44d3-b370-b75dd933f91c"/>
    <ds:schemaRef ds:uri="0c818019-87b5-4f7c-bd0d-839f5f432f29"/>
  </ds:schemaRefs>
</ds:datastoreItem>
</file>

<file path=customXml/itemProps3.xml><?xml version="1.0" encoding="utf-8"?>
<ds:datastoreItem xmlns:ds="http://schemas.openxmlformats.org/officeDocument/2006/customXml" ds:itemID="{F0AEBC47-AA6D-40F8-968C-6FC09D766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0f868-be40-44d3-b370-b75dd933f91c"/>
    <ds:schemaRef ds:uri="0c818019-87b5-4f7c-bd0d-839f5f432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26C603-5B15-9047-8FB9-310A7691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 (change in properties)]</vt:lpstr>
    </vt:vector>
  </TitlesOfParts>
  <Manager/>
  <Company/>
  <LinksUpToDate>false</LinksUpToDate>
  <CharactersWithSpaces>3717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Governance Key Roles</dc:title>
  <dc:subject/>
  <dc:creator>Milesh, Nicolle (VITA)</dc:creator>
  <cp:keywords/>
  <dc:description/>
  <cp:lastModifiedBy>Klich, Erin (ODGA)</cp:lastModifiedBy>
  <cp:revision>24</cp:revision>
  <dcterms:created xsi:type="dcterms:W3CDTF">2025-06-11T17:31:00Z</dcterms:created>
  <dcterms:modified xsi:type="dcterms:W3CDTF">2025-06-17T15:27:00Z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0x0101001AC4724CF556B34FA421EB839F8B6A39</vt:lpwstr>
  </property>
  <property fmtid="{D5CDD505-2E9C-101B-9397-08002B2CF9AE}" pid="3" name="MediaServiceImageTags">
    <vt:lpwstr/>
  </property>
</Properties>
</file>