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3AE4" w14:textId="77777777" w:rsidR="00D21195" w:rsidRDefault="00D21195" w:rsidP="00B6024A">
      <w:pPr>
        <w:rPr>
          <w:rStyle w:val="Heading4Char"/>
        </w:rPr>
      </w:pPr>
      <w:r w:rsidRPr="0036289E">
        <w:rPr>
          <w:rStyle w:val="TitleChar"/>
        </w:rPr>
        <w:t>Meeting Minutes</w:t>
      </w:r>
      <w:r>
        <w:t xml:space="preserve"> </w:t>
      </w:r>
      <w:r w:rsidRPr="0036289E">
        <w:rPr>
          <w:rStyle w:val="Heading1Char"/>
        </w:rPr>
        <w:t xml:space="preserve">– </w:t>
      </w:r>
      <w:r>
        <w:rPr>
          <w:rStyle w:val="Heading1Char"/>
        </w:rPr>
        <w:t>Data Governance Council</w:t>
      </w:r>
      <w:r w:rsidRPr="00B6024A">
        <w:rPr>
          <w:rStyle w:val="Heading4Char"/>
        </w:rPr>
        <w:t xml:space="preserve"> </w:t>
      </w:r>
    </w:p>
    <w:p w14:paraId="3FC7A894" w14:textId="77777777" w:rsidR="00005F71" w:rsidRDefault="00005F71" w:rsidP="00B6024A">
      <w:pPr>
        <w:rPr>
          <w:rStyle w:val="Heading4Char"/>
        </w:rPr>
      </w:pPr>
    </w:p>
    <w:p w14:paraId="561B2AEE" w14:textId="0D35B1E5" w:rsidR="00005F71" w:rsidRDefault="004B6305" w:rsidP="00B6024A">
      <w:pPr>
        <w:rPr>
          <w:rStyle w:val="Heading3Char"/>
          <w:color w:val="075A83" w:themeColor="accent1"/>
        </w:rPr>
      </w:pPr>
      <w:r w:rsidRPr="00B6024A">
        <w:rPr>
          <w:rStyle w:val="Heading4Char"/>
        </w:rPr>
        <w:t>Date</w:t>
      </w:r>
      <w:r w:rsidR="00005F71">
        <w:rPr>
          <w:rStyle w:val="Heading4Char"/>
        </w:rPr>
        <w:t>:</w:t>
      </w:r>
    </w:p>
    <w:p w14:paraId="144C6060" w14:textId="2CB92708" w:rsidR="004B6305" w:rsidRDefault="0093554D" w:rsidP="00B6024A">
      <w:r>
        <w:t>08-21-2025</w:t>
      </w:r>
    </w:p>
    <w:p w14:paraId="3F9C2661" w14:textId="77777777" w:rsidR="0028237F" w:rsidRPr="001B3210" w:rsidRDefault="0028237F" w:rsidP="00B6024A"/>
    <w:p w14:paraId="32D39989" w14:textId="5FF66213" w:rsidR="00005F71" w:rsidRDefault="004B6305" w:rsidP="00B6024A">
      <w:pPr>
        <w:rPr>
          <w:rStyle w:val="Heading3Char"/>
          <w:color w:val="075A83" w:themeColor="accent1"/>
        </w:rPr>
      </w:pPr>
      <w:r w:rsidRPr="00B6024A">
        <w:rPr>
          <w:rStyle w:val="Heading4Char"/>
        </w:rPr>
        <w:t>Time</w:t>
      </w:r>
      <w:r w:rsidR="00005F71">
        <w:rPr>
          <w:rStyle w:val="Heading4Char"/>
        </w:rPr>
        <w:t>:</w:t>
      </w:r>
    </w:p>
    <w:p w14:paraId="45987DF6" w14:textId="6B4AE22C" w:rsidR="004B6305" w:rsidRDefault="00DC1B41" w:rsidP="00B6024A">
      <w:r>
        <w:t>1:00 PM – 2:25 PM</w:t>
      </w:r>
    </w:p>
    <w:p w14:paraId="15D029AF" w14:textId="77777777" w:rsidR="0028237F" w:rsidRPr="001B3210" w:rsidRDefault="0028237F" w:rsidP="00B6024A"/>
    <w:p w14:paraId="0B14BB44" w14:textId="1D5D12A3" w:rsidR="00D330D1" w:rsidRDefault="004B6305" w:rsidP="00B6024A">
      <w:pPr>
        <w:rPr>
          <w:rStyle w:val="Heading3Char"/>
          <w:color w:val="075A83" w:themeColor="accent1"/>
        </w:rPr>
      </w:pPr>
      <w:r w:rsidRPr="00B6024A">
        <w:rPr>
          <w:rStyle w:val="Heading4Char"/>
        </w:rPr>
        <w:t>Facilitators:</w:t>
      </w:r>
      <w:r w:rsidRPr="00220F0C">
        <w:rPr>
          <w:rStyle w:val="Heading3Char"/>
          <w:color w:val="075A83" w:themeColor="accent1"/>
        </w:rPr>
        <w:t xml:space="preserve"> </w:t>
      </w:r>
    </w:p>
    <w:p w14:paraId="76EAF8A3" w14:textId="5B70EC65" w:rsidR="00D330D1" w:rsidRDefault="000D10EE" w:rsidP="00D330D1">
      <w:pPr>
        <w:pStyle w:val="ListParagraph"/>
        <w:numPr>
          <w:ilvl w:val="0"/>
          <w:numId w:val="3"/>
        </w:numPr>
      </w:pPr>
      <w:r>
        <w:t>Marcus Thornton</w:t>
      </w:r>
      <w:r w:rsidR="003D16A2">
        <w:t xml:space="preserve">, </w:t>
      </w:r>
      <w:r w:rsidR="003D16A2" w:rsidRPr="003D16A2">
        <w:rPr>
          <w:i/>
          <w:iCs/>
        </w:rPr>
        <w:t>Office of Data Governance and Analytics</w:t>
      </w:r>
    </w:p>
    <w:p w14:paraId="2890D6D6" w14:textId="2C1B1C0C" w:rsidR="00D330D1" w:rsidRDefault="000D10EE" w:rsidP="00D330D1">
      <w:pPr>
        <w:pStyle w:val="ListParagraph"/>
        <w:numPr>
          <w:ilvl w:val="0"/>
          <w:numId w:val="3"/>
        </w:numPr>
      </w:pPr>
      <w:r>
        <w:t>Chris Burroughs</w:t>
      </w:r>
      <w:r w:rsidR="003D16A2">
        <w:t xml:space="preserve">, </w:t>
      </w:r>
      <w:r w:rsidR="003D16A2" w:rsidRPr="003D16A2">
        <w:rPr>
          <w:i/>
          <w:iCs/>
        </w:rPr>
        <w:t>Office of Data Governance and Analytics</w:t>
      </w:r>
    </w:p>
    <w:p w14:paraId="091B68EA" w14:textId="0C9B43C6" w:rsidR="00D330D1" w:rsidRDefault="000D10EE" w:rsidP="00D330D1">
      <w:pPr>
        <w:pStyle w:val="ListParagraph"/>
        <w:numPr>
          <w:ilvl w:val="0"/>
          <w:numId w:val="3"/>
        </w:numPr>
      </w:pPr>
      <w:r>
        <w:t>Jessi Bailey</w:t>
      </w:r>
      <w:r w:rsidR="003D16A2">
        <w:t xml:space="preserve">, </w:t>
      </w:r>
      <w:r w:rsidR="003D16A2" w:rsidRPr="003D16A2">
        <w:rPr>
          <w:i/>
          <w:iCs/>
        </w:rPr>
        <w:t>Office of Data Governance and Analytics</w:t>
      </w:r>
    </w:p>
    <w:p w14:paraId="79C9BAB8" w14:textId="751D1CC8" w:rsidR="00D330D1" w:rsidRDefault="00BE79CE" w:rsidP="00D330D1">
      <w:pPr>
        <w:pStyle w:val="ListParagraph"/>
        <w:numPr>
          <w:ilvl w:val="0"/>
          <w:numId w:val="3"/>
        </w:numPr>
      </w:pPr>
      <w:r>
        <w:t>Shwetha Tadimalla</w:t>
      </w:r>
      <w:r w:rsidR="003D16A2">
        <w:t xml:space="preserve">, </w:t>
      </w:r>
      <w:r w:rsidR="003D16A2" w:rsidRPr="003D16A2">
        <w:rPr>
          <w:i/>
          <w:iCs/>
        </w:rPr>
        <w:t>Office of Data Governance and Analytics</w:t>
      </w:r>
    </w:p>
    <w:p w14:paraId="7B3BB4FD" w14:textId="4C75D5E3" w:rsidR="00D330D1" w:rsidRDefault="00BE79CE" w:rsidP="00D330D1">
      <w:pPr>
        <w:pStyle w:val="ListParagraph"/>
        <w:numPr>
          <w:ilvl w:val="0"/>
          <w:numId w:val="3"/>
        </w:numPr>
      </w:pPr>
      <w:r>
        <w:t xml:space="preserve">Atiq </w:t>
      </w:r>
      <w:r w:rsidR="002C2349">
        <w:t>Rahaman</w:t>
      </w:r>
      <w:r w:rsidR="003D16A2">
        <w:t xml:space="preserve">, </w:t>
      </w:r>
      <w:r w:rsidR="003D16A2" w:rsidRPr="003D16A2">
        <w:rPr>
          <w:i/>
          <w:iCs/>
        </w:rPr>
        <w:t>Office of Data Governance and Analytics</w:t>
      </w:r>
    </w:p>
    <w:p w14:paraId="6A973F3C" w14:textId="1516DF03" w:rsidR="00D330D1" w:rsidRDefault="00636ABB" w:rsidP="00D330D1">
      <w:pPr>
        <w:pStyle w:val="ListParagraph"/>
        <w:numPr>
          <w:ilvl w:val="0"/>
          <w:numId w:val="3"/>
        </w:numPr>
      </w:pPr>
      <w:r>
        <w:t>Jeffrey Scheich</w:t>
      </w:r>
      <w:r w:rsidR="0063250C">
        <w:t xml:space="preserve">, </w:t>
      </w:r>
      <w:r w:rsidR="0063250C" w:rsidRPr="003341A4">
        <w:rPr>
          <w:i/>
          <w:iCs/>
        </w:rPr>
        <w:t>Virginia Information Technologies Agency</w:t>
      </w:r>
    </w:p>
    <w:p w14:paraId="7EF1FE35" w14:textId="4B7A6142" w:rsidR="00220F0C" w:rsidRPr="00B10510" w:rsidRDefault="00ED019B" w:rsidP="00D330D1">
      <w:pPr>
        <w:pStyle w:val="ListParagraph"/>
        <w:numPr>
          <w:ilvl w:val="0"/>
          <w:numId w:val="3"/>
        </w:numPr>
      </w:pPr>
      <w:r>
        <w:t>Max Tingle</w:t>
      </w:r>
      <w:r w:rsidR="003341A4">
        <w:t xml:space="preserve">, </w:t>
      </w:r>
      <w:r w:rsidR="003341A4" w:rsidRPr="003341A4">
        <w:rPr>
          <w:i/>
          <w:iCs/>
        </w:rPr>
        <w:t>Deloitte</w:t>
      </w:r>
    </w:p>
    <w:p w14:paraId="6F57DC11" w14:textId="77777777" w:rsidR="00B10510" w:rsidRPr="00220F0C" w:rsidRDefault="00B10510" w:rsidP="00B10510">
      <w:pPr>
        <w:pStyle w:val="ListParagraph"/>
      </w:pPr>
    </w:p>
    <w:p w14:paraId="0D331A84" w14:textId="77777777" w:rsidR="00D330D1" w:rsidRDefault="007A398F" w:rsidP="00B43595">
      <w:pPr>
        <w:spacing w:line="276" w:lineRule="auto"/>
        <w:rPr>
          <w:rStyle w:val="Heading4Char"/>
        </w:rPr>
      </w:pPr>
      <w:r>
        <w:rPr>
          <w:rStyle w:val="Heading4Char"/>
        </w:rPr>
        <w:t xml:space="preserve">Board Member </w:t>
      </w:r>
      <w:r w:rsidR="00220F0C" w:rsidRPr="001B3210">
        <w:rPr>
          <w:rStyle w:val="Heading4Char"/>
        </w:rPr>
        <w:t xml:space="preserve">Attendees: </w:t>
      </w:r>
    </w:p>
    <w:p w14:paraId="66EB9D8D" w14:textId="0699A747" w:rsidR="007A398F" w:rsidRDefault="007A398F" w:rsidP="00D330D1">
      <w:pPr>
        <w:pStyle w:val="ListParagraph"/>
        <w:numPr>
          <w:ilvl w:val="0"/>
          <w:numId w:val="3"/>
        </w:numPr>
        <w:spacing w:line="276" w:lineRule="auto"/>
      </w:pPr>
      <w:r>
        <w:t>Marcus Thornton</w:t>
      </w:r>
      <w:r w:rsidR="00301D89">
        <w:t xml:space="preserve">, </w:t>
      </w:r>
      <w:r w:rsidR="00301D89" w:rsidRPr="00665107">
        <w:rPr>
          <w:i/>
          <w:iCs/>
        </w:rPr>
        <w:t>Office of Data Governance and Analytics</w:t>
      </w:r>
    </w:p>
    <w:p w14:paraId="5075D780" w14:textId="2CA986F2" w:rsidR="007A398F" w:rsidRDefault="007A398F" w:rsidP="00D330D1">
      <w:pPr>
        <w:pStyle w:val="ListParagraph"/>
        <w:numPr>
          <w:ilvl w:val="0"/>
          <w:numId w:val="3"/>
        </w:numPr>
        <w:spacing w:line="276" w:lineRule="auto"/>
      </w:pPr>
      <w:r>
        <w:t>Rich Rosendahl</w:t>
      </w:r>
      <w:r w:rsidR="00301D89">
        <w:t xml:space="preserve">, </w:t>
      </w:r>
      <w:r w:rsidR="00301D89" w:rsidRPr="00665107">
        <w:rPr>
          <w:i/>
          <w:iCs/>
        </w:rPr>
        <w:t>Department of Medical Assistance Services</w:t>
      </w:r>
    </w:p>
    <w:p w14:paraId="527823AC" w14:textId="4548158A" w:rsidR="007A398F" w:rsidRDefault="00D8139C" w:rsidP="00D330D1">
      <w:pPr>
        <w:pStyle w:val="ListParagraph"/>
        <w:numPr>
          <w:ilvl w:val="0"/>
          <w:numId w:val="3"/>
        </w:numPr>
        <w:spacing w:line="276" w:lineRule="auto"/>
      </w:pPr>
      <w:r>
        <w:t>Mitzi Fletcher</w:t>
      </w:r>
      <w:r w:rsidR="00301D89">
        <w:t xml:space="preserve">, </w:t>
      </w:r>
      <w:r w:rsidR="00891D40" w:rsidRPr="00665107">
        <w:rPr>
          <w:i/>
          <w:iCs/>
        </w:rPr>
        <w:t>Department of Social Services</w:t>
      </w:r>
    </w:p>
    <w:p w14:paraId="72164503" w14:textId="4014AC37" w:rsidR="007A398F" w:rsidRDefault="00D8139C" w:rsidP="00D330D1">
      <w:pPr>
        <w:pStyle w:val="ListParagraph"/>
        <w:numPr>
          <w:ilvl w:val="0"/>
          <w:numId w:val="3"/>
        </w:numPr>
        <w:spacing w:line="276" w:lineRule="auto"/>
      </w:pPr>
      <w:r>
        <w:t>TJ Claiborne</w:t>
      </w:r>
      <w:r w:rsidR="00891D40">
        <w:t xml:space="preserve">, </w:t>
      </w:r>
      <w:r w:rsidR="00891D40" w:rsidRPr="00665107">
        <w:rPr>
          <w:i/>
          <w:iCs/>
        </w:rPr>
        <w:t>Department of Conservation and Recreation</w:t>
      </w:r>
    </w:p>
    <w:p w14:paraId="6B23492F" w14:textId="0FAD53DA" w:rsidR="007A398F" w:rsidRDefault="00BC4D54" w:rsidP="00D330D1">
      <w:pPr>
        <w:pStyle w:val="ListParagraph"/>
        <w:numPr>
          <w:ilvl w:val="0"/>
          <w:numId w:val="3"/>
        </w:numPr>
        <w:spacing w:line="276" w:lineRule="auto"/>
      </w:pPr>
      <w:r>
        <w:t>Keon Turner</w:t>
      </w:r>
      <w:r w:rsidR="00891D40">
        <w:t xml:space="preserve">, </w:t>
      </w:r>
      <w:r w:rsidR="00891D40" w:rsidRPr="00665107">
        <w:rPr>
          <w:i/>
          <w:iCs/>
        </w:rPr>
        <w:t>Virginia State Police</w:t>
      </w:r>
    </w:p>
    <w:p w14:paraId="595C9A55" w14:textId="580DB641" w:rsidR="007A398F" w:rsidRDefault="00BC4D54" w:rsidP="00D330D1">
      <w:pPr>
        <w:pStyle w:val="ListParagraph"/>
        <w:numPr>
          <w:ilvl w:val="0"/>
          <w:numId w:val="3"/>
        </w:numPr>
        <w:spacing w:line="276" w:lineRule="auto"/>
      </w:pPr>
      <w:r>
        <w:t>Karen Smith</w:t>
      </w:r>
      <w:r w:rsidR="00891D40">
        <w:t xml:space="preserve">, </w:t>
      </w:r>
      <w:r w:rsidR="00891D40" w:rsidRPr="00665107">
        <w:rPr>
          <w:i/>
          <w:iCs/>
        </w:rPr>
        <w:t>Vir</w:t>
      </w:r>
      <w:r w:rsidR="009B2CEE" w:rsidRPr="00665107">
        <w:rPr>
          <w:i/>
          <w:iCs/>
        </w:rPr>
        <w:t>ginia Employment Commission</w:t>
      </w:r>
    </w:p>
    <w:p w14:paraId="6496E6E0" w14:textId="259345A4" w:rsidR="00220F0C" w:rsidRPr="00D330D1" w:rsidRDefault="00BC4D54" w:rsidP="12018FB5">
      <w:pPr>
        <w:pStyle w:val="ListParagraph"/>
        <w:numPr>
          <w:ilvl w:val="0"/>
          <w:numId w:val="3"/>
        </w:numPr>
        <w:spacing w:line="276" w:lineRule="auto"/>
        <w:rPr>
          <w:rStyle w:val="Heading4Char"/>
          <w:rFonts w:ascii="Roboto" w:eastAsiaTheme="minorEastAsia" w:hAnsi="Roboto" w:cstheme="minorBidi"/>
          <w:b w:val="0"/>
          <w:color w:val="auto"/>
          <w:sz w:val="24"/>
        </w:rPr>
      </w:pPr>
      <w:r>
        <w:t xml:space="preserve">Paulose </w:t>
      </w:r>
      <w:proofErr w:type="spellStart"/>
      <w:r>
        <w:t>Poovathukaran</w:t>
      </w:r>
      <w:proofErr w:type="spellEnd"/>
      <w:r w:rsidR="009B2CEE">
        <w:t xml:space="preserve">, </w:t>
      </w:r>
      <w:r w:rsidR="009B2CEE" w:rsidRPr="12018FB5">
        <w:rPr>
          <w:i/>
          <w:iCs/>
        </w:rPr>
        <w:t xml:space="preserve">Department of </w:t>
      </w:r>
      <w:r w:rsidR="00E84774" w:rsidRPr="12018FB5">
        <w:rPr>
          <w:i/>
          <w:iCs/>
        </w:rPr>
        <w:t>Behavioral Health and Developmental Services</w:t>
      </w:r>
    </w:p>
    <w:p w14:paraId="55EBB17F" w14:textId="0BE9981D" w:rsidR="3B6F677B" w:rsidRDefault="3B6F677B" w:rsidP="12018FB5">
      <w:pPr>
        <w:pStyle w:val="ListParagraph"/>
        <w:numPr>
          <w:ilvl w:val="0"/>
          <w:numId w:val="3"/>
        </w:numPr>
        <w:spacing w:line="276" w:lineRule="auto"/>
        <w:rPr>
          <w:rStyle w:val="Heading4Char"/>
          <w:rFonts w:ascii="Roboto" w:eastAsiaTheme="minorEastAsia" w:hAnsi="Roboto" w:cstheme="minorBidi"/>
          <w:b w:val="0"/>
          <w:color w:val="auto"/>
          <w:sz w:val="24"/>
        </w:rPr>
      </w:pPr>
      <w:r w:rsidRPr="12018FB5">
        <w:rPr>
          <w:rStyle w:val="Heading4Char"/>
          <w:rFonts w:ascii="Roboto" w:eastAsiaTheme="minorEastAsia" w:hAnsi="Roboto" w:cstheme="minorBidi"/>
          <w:b w:val="0"/>
          <w:i/>
          <w:color w:val="auto"/>
          <w:sz w:val="24"/>
        </w:rPr>
        <w:t>Anup Srikumar, Department of Health- Absent</w:t>
      </w:r>
    </w:p>
    <w:p w14:paraId="139665F9" w14:textId="29A69C4F" w:rsidR="3B6F677B" w:rsidRDefault="3B6F677B" w:rsidP="12018FB5">
      <w:pPr>
        <w:pStyle w:val="ListParagraph"/>
        <w:numPr>
          <w:ilvl w:val="0"/>
          <w:numId w:val="3"/>
        </w:numPr>
        <w:spacing w:line="276" w:lineRule="auto"/>
        <w:rPr>
          <w:rStyle w:val="Heading4Char"/>
          <w:rFonts w:ascii="Roboto" w:eastAsiaTheme="minorEastAsia" w:hAnsi="Roboto" w:cstheme="minorBidi"/>
          <w:b w:val="0"/>
          <w:color w:val="auto"/>
          <w:sz w:val="24"/>
        </w:rPr>
      </w:pPr>
      <w:r w:rsidRPr="12018FB5">
        <w:rPr>
          <w:rStyle w:val="Heading4Char"/>
          <w:rFonts w:ascii="Roboto" w:eastAsiaTheme="minorEastAsia" w:hAnsi="Roboto" w:cstheme="minorBidi"/>
          <w:b w:val="0"/>
          <w:i/>
          <w:color w:val="auto"/>
          <w:sz w:val="24"/>
        </w:rPr>
        <w:t>Susan Williams, Department of Education- Absent</w:t>
      </w:r>
    </w:p>
    <w:p w14:paraId="42368951" w14:textId="77777777" w:rsidR="004B6305" w:rsidRDefault="004B6305" w:rsidP="004B6305"/>
    <w:p w14:paraId="3E7DB09D" w14:textId="77777777" w:rsidR="001349C6" w:rsidRDefault="005075F8" w:rsidP="002A1615">
      <w:pPr>
        <w:tabs>
          <w:tab w:val="left" w:pos="7802"/>
        </w:tabs>
        <w:spacing w:line="276" w:lineRule="auto"/>
        <w:rPr>
          <w:rStyle w:val="Heading4Char"/>
        </w:rPr>
      </w:pPr>
      <w:r w:rsidRPr="001B3210">
        <w:rPr>
          <w:rStyle w:val="Heading4Char"/>
        </w:rPr>
        <w:t xml:space="preserve">Goals of the meeting: </w:t>
      </w:r>
    </w:p>
    <w:p w14:paraId="13CD4776" w14:textId="201E1E50" w:rsidR="005075F8" w:rsidRPr="001B3210" w:rsidRDefault="00A97DAE" w:rsidP="002A1615">
      <w:pPr>
        <w:tabs>
          <w:tab w:val="left" w:pos="7802"/>
        </w:tabs>
        <w:spacing w:line="276" w:lineRule="auto"/>
        <w:rPr>
          <w:rStyle w:val="Heading4Char"/>
        </w:rPr>
      </w:pPr>
      <w:r w:rsidRPr="00A97DAE">
        <w:lastRenderedPageBreak/>
        <w:t>The purpose of this meeting is to provide strategic counsel to the Chief Data Officer (CDO) on matters related to data technology, policy, and governance structure. The group will oversee the administration of data governance policies, standards, and best practices established by the Board, ensuring they are effectively implemented across the enterprise. In addition, the meeting will serve to review and guide data sharing initiatives and analytics projects to promote alignment with organizational priorities and advance the Commonwealth’s data-driven objectives.</w:t>
      </w:r>
      <w:r w:rsidR="002A1615">
        <w:tab/>
      </w:r>
    </w:p>
    <w:p w14:paraId="5E40BDA6" w14:textId="77777777" w:rsidR="004B6305" w:rsidRDefault="004B6305" w:rsidP="004B6305"/>
    <w:p w14:paraId="7894B323" w14:textId="77777777" w:rsidR="00C57F8E" w:rsidRDefault="00C57F8E" w:rsidP="00C57F8E">
      <w:pPr>
        <w:pStyle w:val="Heading4"/>
      </w:pPr>
      <w:r>
        <w:t>Motions</w:t>
      </w:r>
      <w:r w:rsidRPr="00B43595">
        <w:t>:</w:t>
      </w:r>
    </w:p>
    <w:p w14:paraId="7BA947DD" w14:textId="77777777" w:rsidR="00C57F8E" w:rsidRDefault="00C57F8E" w:rsidP="00C57F8E">
      <w:r w:rsidRPr="00005F71">
        <w:rPr>
          <w:b/>
          <w:bCs/>
        </w:rPr>
        <w:t>Motion 1:</w:t>
      </w:r>
      <w:r>
        <w:t xml:space="preserve"> Approval of Previous Data Governance Council Meeting Minutes (April 2025).</w:t>
      </w:r>
    </w:p>
    <w:p w14:paraId="2836D6C2" w14:textId="77777777" w:rsidR="00C57F8E" w:rsidRDefault="00C57F8E" w:rsidP="00C57F8E">
      <w:r w:rsidRPr="00005F71">
        <w:rPr>
          <w:b/>
          <w:bCs/>
        </w:rPr>
        <w:t>Presenter:</w:t>
      </w:r>
      <w:r>
        <w:t xml:space="preserve"> Deputy Chief Data Officer, Marcus Thornton</w:t>
      </w:r>
    </w:p>
    <w:p w14:paraId="5AD9927D" w14:textId="77777777" w:rsidR="00C57F8E" w:rsidRDefault="00C57F8E" w:rsidP="00C57F8E">
      <w:r w:rsidRPr="00005F71">
        <w:rPr>
          <w:b/>
          <w:bCs/>
        </w:rPr>
        <w:t>Discussion:</w:t>
      </w:r>
      <w:r>
        <w:t xml:space="preserve"> Approval of meeting minutes were discussed.</w:t>
      </w:r>
    </w:p>
    <w:p w14:paraId="67D5A039" w14:textId="77777777" w:rsidR="00C57F8E" w:rsidRDefault="00C57F8E" w:rsidP="00C57F8E">
      <w:r w:rsidRPr="00005F71">
        <w:rPr>
          <w:b/>
          <w:bCs/>
        </w:rPr>
        <w:t>Motion Accepted:</w:t>
      </w:r>
      <w:r>
        <w:t xml:space="preserve"> Motion moved by TJ Claiborne and seconded by Karen Smith. Motion carried by unanimous vote.</w:t>
      </w:r>
    </w:p>
    <w:p w14:paraId="73F8F8B9" w14:textId="77777777" w:rsidR="00C57F8E" w:rsidRDefault="00C57F8E" w:rsidP="004B6305"/>
    <w:p w14:paraId="237D780E" w14:textId="1C1C4B60" w:rsidR="001B05E1" w:rsidRPr="001B05E1" w:rsidRDefault="001B05E1" w:rsidP="001B05E1">
      <w:pPr>
        <w:pStyle w:val="Heading4"/>
        <w:rPr>
          <w:rFonts w:eastAsiaTheme="minorHAnsi" w:cstheme="minorBidi"/>
          <w:sz w:val="24"/>
        </w:rPr>
      </w:pPr>
      <w:r w:rsidRPr="001B3210">
        <w:t>Agenda:</w:t>
      </w:r>
      <w:r w:rsidRPr="001B3210">
        <w:rPr>
          <w:rFonts w:eastAsiaTheme="minorHAnsi" w:cstheme="minorBidi"/>
          <w:sz w:val="24"/>
        </w:rPr>
        <w:t xml:space="preserve"> </w:t>
      </w:r>
    </w:p>
    <w:tbl>
      <w:tblPr>
        <w:tblStyle w:val="TableGrid"/>
        <w:tblW w:w="10620" w:type="dxa"/>
        <w:jc w:val="center"/>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insideV w:val="single" w:sz="4" w:space="0" w:color="4178CB" w:themeColor="text1" w:themeTint="99"/>
        </w:tblBorders>
        <w:tblLook w:val="04A0" w:firstRow="1" w:lastRow="0" w:firstColumn="1" w:lastColumn="0" w:noHBand="0" w:noVBand="1"/>
      </w:tblPr>
      <w:tblGrid>
        <w:gridCol w:w="3595"/>
        <w:gridCol w:w="3150"/>
        <w:gridCol w:w="3875"/>
      </w:tblGrid>
      <w:tr w:rsidR="00220F0C" w14:paraId="07E34423" w14:textId="77777777" w:rsidTr="00973B0D">
        <w:trPr>
          <w:trHeight w:val="720"/>
          <w:jc w:val="center"/>
        </w:trPr>
        <w:tc>
          <w:tcPr>
            <w:tcW w:w="3595" w:type="dxa"/>
            <w:shd w:val="clear" w:color="auto" w:fill="075A83" w:themeFill="accent1"/>
            <w:vAlign w:val="center"/>
          </w:tcPr>
          <w:p w14:paraId="7290F69D" w14:textId="6D94F8C3" w:rsidR="00220F0C" w:rsidRPr="00662C9D" w:rsidRDefault="00220F0C" w:rsidP="00B43595">
            <w:pPr>
              <w:pStyle w:val="Heading3"/>
              <w:jc w:val="center"/>
              <w:rPr>
                <w:color w:val="FFFFFF" w:themeColor="background1"/>
              </w:rPr>
            </w:pPr>
            <w:r w:rsidRPr="00662C9D">
              <w:rPr>
                <w:color w:val="FFFFFF" w:themeColor="background1"/>
              </w:rPr>
              <w:t>Agenda item</w:t>
            </w:r>
          </w:p>
        </w:tc>
        <w:tc>
          <w:tcPr>
            <w:tcW w:w="3150" w:type="dxa"/>
            <w:shd w:val="clear" w:color="auto" w:fill="075A83" w:themeFill="accent1"/>
            <w:vAlign w:val="center"/>
          </w:tcPr>
          <w:p w14:paraId="3E51D940" w14:textId="633ED7C7" w:rsidR="00220F0C" w:rsidRPr="00662C9D" w:rsidRDefault="00220F0C" w:rsidP="00B43595">
            <w:pPr>
              <w:pStyle w:val="Heading3"/>
              <w:jc w:val="center"/>
              <w:rPr>
                <w:color w:val="FFFFFF" w:themeColor="background1"/>
              </w:rPr>
            </w:pPr>
            <w:r w:rsidRPr="00662C9D">
              <w:rPr>
                <w:color w:val="FFFFFF" w:themeColor="background1"/>
              </w:rPr>
              <w:t>Facilitator</w:t>
            </w:r>
          </w:p>
        </w:tc>
        <w:tc>
          <w:tcPr>
            <w:tcW w:w="3875" w:type="dxa"/>
            <w:shd w:val="clear" w:color="auto" w:fill="075A83" w:themeFill="accent1"/>
            <w:vAlign w:val="center"/>
          </w:tcPr>
          <w:p w14:paraId="65083B99" w14:textId="0440C30A" w:rsidR="00220F0C" w:rsidRPr="00662C9D" w:rsidRDefault="00220F0C" w:rsidP="00B43595">
            <w:pPr>
              <w:pStyle w:val="Heading3"/>
              <w:jc w:val="center"/>
              <w:rPr>
                <w:color w:val="FFFFFF" w:themeColor="background1"/>
              </w:rPr>
            </w:pPr>
            <w:r w:rsidRPr="00662C9D">
              <w:rPr>
                <w:color w:val="FFFFFF" w:themeColor="background1"/>
              </w:rPr>
              <w:t>Content</w:t>
            </w:r>
          </w:p>
        </w:tc>
      </w:tr>
      <w:tr w:rsidR="00220F0C" w14:paraId="5C332565" w14:textId="77777777" w:rsidTr="00973B0D">
        <w:trPr>
          <w:trHeight w:val="720"/>
          <w:jc w:val="center"/>
        </w:trPr>
        <w:tc>
          <w:tcPr>
            <w:tcW w:w="3595" w:type="dxa"/>
            <w:vAlign w:val="center"/>
          </w:tcPr>
          <w:p w14:paraId="599C107C" w14:textId="77777777" w:rsidR="00085D09" w:rsidRPr="00085D09" w:rsidRDefault="00085D09" w:rsidP="009F504D">
            <w:r w:rsidRPr="00085D09">
              <w:t>1:00 PM: Order of Business</w:t>
            </w:r>
          </w:p>
          <w:p w14:paraId="34B9A73E" w14:textId="05599B00" w:rsidR="00220F0C" w:rsidRPr="00B43595" w:rsidRDefault="00220F0C" w:rsidP="009F504D"/>
        </w:tc>
        <w:tc>
          <w:tcPr>
            <w:tcW w:w="3150" w:type="dxa"/>
            <w:vAlign w:val="center"/>
          </w:tcPr>
          <w:p w14:paraId="72B9A920" w14:textId="77777777" w:rsidR="006D4871" w:rsidRPr="006D4871" w:rsidRDefault="006D4871" w:rsidP="006D4871">
            <w:pPr>
              <w:jc w:val="center"/>
            </w:pPr>
            <w:r w:rsidRPr="006D4871">
              <w:t>Marcus Thornton (ODGA)</w:t>
            </w:r>
          </w:p>
          <w:p w14:paraId="5151B5A9" w14:textId="427B4001" w:rsidR="00220F0C" w:rsidRPr="00B43595" w:rsidRDefault="00220F0C" w:rsidP="00B43595">
            <w:pPr>
              <w:jc w:val="center"/>
            </w:pPr>
          </w:p>
        </w:tc>
        <w:tc>
          <w:tcPr>
            <w:tcW w:w="3875" w:type="dxa"/>
            <w:vAlign w:val="center"/>
          </w:tcPr>
          <w:p w14:paraId="37A9B5BA" w14:textId="5A11C59D" w:rsidR="00D022EA" w:rsidRPr="00D022EA" w:rsidRDefault="00D022EA" w:rsidP="00D022EA">
            <w:pPr>
              <w:jc w:val="center"/>
            </w:pPr>
            <w:r w:rsidRPr="00D022EA">
              <w:t xml:space="preserve">Welcome, Roll Call, Objectives of Meeting, </w:t>
            </w:r>
            <w:r w:rsidR="00430E39" w:rsidRPr="00D022EA">
              <w:t>etc.</w:t>
            </w:r>
          </w:p>
          <w:p w14:paraId="46B300D1" w14:textId="08990B48" w:rsidR="00220F0C" w:rsidRPr="00B43595" w:rsidRDefault="00220F0C" w:rsidP="00B43595">
            <w:pPr>
              <w:jc w:val="center"/>
            </w:pPr>
          </w:p>
        </w:tc>
      </w:tr>
      <w:tr w:rsidR="00B43595" w14:paraId="03CF635A" w14:textId="77777777" w:rsidTr="00973B0D">
        <w:trPr>
          <w:trHeight w:val="720"/>
          <w:jc w:val="center"/>
        </w:trPr>
        <w:tc>
          <w:tcPr>
            <w:tcW w:w="3595" w:type="dxa"/>
            <w:shd w:val="clear" w:color="auto" w:fill="F2F2F2" w:themeFill="background1" w:themeFillShade="F2"/>
            <w:vAlign w:val="center"/>
          </w:tcPr>
          <w:p w14:paraId="55102427" w14:textId="3D301D4F" w:rsidR="008A5A46" w:rsidRPr="008A5A46" w:rsidRDefault="008A5A46" w:rsidP="009F504D">
            <w:r w:rsidRPr="008A5A46">
              <w:t>1:</w:t>
            </w:r>
            <w:r w:rsidR="00FA5490">
              <w:t>04</w:t>
            </w:r>
            <w:r w:rsidRPr="008A5A46">
              <w:t xml:space="preserve"> PM: ODGA Updates</w:t>
            </w:r>
          </w:p>
          <w:p w14:paraId="312E7ADE" w14:textId="3F810E58" w:rsidR="00B43595" w:rsidRPr="00B43595" w:rsidRDefault="00B43595" w:rsidP="009F504D"/>
        </w:tc>
        <w:tc>
          <w:tcPr>
            <w:tcW w:w="3150" w:type="dxa"/>
            <w:shd w:val="clear" w:color="auto" w:fill="F2F2F2" w:themeFill="background1" w:themeFillShade="F2"/>
            <w:vAlign w:val="center"/>
          </w:tcPr>
          <w:p w14:paraId="5939CA37" w14:textId="77777777" w:rsidR="00D022EA" w:rsidRPr="00D022EA" w:rsidRDefault="00D022EA" w:rsidP="00D022EA">
            <w:pPr>
              <w:jc w:val="center"/>
            </w:pPr>
            <w:r w:rsidRPr="00D022EA">
              <w:t>Marcus Thornton, Jessi Bailey, Chris Burroughs (ODGA)</w:t>
            </w:r>
          </w:p>
          <w:p w14:paraId="5F2C750E" w14:textId="03B2643E" w:rsidR="00B43595" w:rsidRPr="00B43595" w:rsidRDefault="00B43595" w:rsidP="00B43595">
            <w:pPr>
              <w:jc w:val="center"/>
            </w:pPr>
          </w:p>
        </w:tc>
        <w:tc>
          <w:tcPr>
            <w:tcW w:w="3875" w:type="dxa"/>
            <w:shd w:val="clear" w:color="auto" w:fill="F2F2F2" w:themeFill="background1" w:themeFillShade="F2"/>
            <w:vAlign w:val="center"/>
          </w:tcPr>
          <w:p w14:paraId="234D27CB" w14:textId="77777777" w:rsidR="00D022EA" w:rsidRPr="00D022EA" w:rsidRDefault="00D022EA" w:rsidP="00D022EA">
            <w:pPr>
              <w:jc w:val="center"/>
            </w:pPr>
            <w:r w:rsidRPr="00D022EA">
              <w:t>Data Governance Award Winners, Open Data Portal, Data Governance, and more</w:t>
            </w:r>
          </w:p>
          <w:p w14:paraId="47939531" w14:textId="2D43F650" w:rsidR="00B43595" w:rsidRPr="00B43595" w:rsidRDefault="00B43595" w:rsidP="00B43595">
            <w:pPr>
              <w:jc w:val="center"/>
            </w:pPr>
          </w:p>
        </w:tc>
      </w:tr>
      <w:tr w:rsidR="00B43595" w14:paraId="73725DDF" w14:textId="77777777" w:rsidTr="00973B0D">
        <w:trPr>
          <w:trHeight w:val="720"/>
          <w:jc w:val="center"/>
        </w:trPr>
        <w:tc>
          <w:tcPr>
            <w:tcW w:w="3595" w:type="dxa"/>
            <w:vAlign w:val="center"/>
          </w:tcPr>
          <w:p w14:paraId="2A9A50A2" w14:textId="14B51D8E" w:rsidR="008A5A46" w:rsidRPr="008A5A46" w:rsidRDefault="008A5A46" w:rsidP="009F504D">
            <w:r w:rsidRPr="008A5A46">
              <w:t>1:</w:t>
            </w:r>
            <w:r w:rsidR="00DC7F7B">
              <w:t>13</w:t>
            </w:r>
            <w:r w:rsidRPr="008A5A46">
              <w:t xml:space="preserve"> PM</w:t>
            </w:r>
            <w:r w:rsidR="005C0DB0" w:rsidRPr="008A5A46">
              <w:t>: Streamline</w:t>
            </w:r>
            <w:r w:rsidRPr="008A5A46">
              <w:t xml:space="preserve"> your Data Governance</w:t>
            </w:r>
            <w:r w:rsidR="005C0DB0" w:rsidRPr="008A5A46">
              <w:t>: Automating</w:t>
            </w:r>
            <w:r w:rsidRPr="008A5A46">
              <w:t xml:space="preserve"> Metadata with AP and API’s</w:t>
            </w:r>
          </w:p>
          <w:p w14:paraId="46233269" w14:textId="39FFEFAB" w:rsidR="00B43595" w:rsidRPr="00B43595" w:rsidRDefault="00B43595" w:rsidP="009F504D"/>
        </w:tc>
        <w:tc>
          <w:tcPr>
            <w:tcW w:w="3150" w:type="dxa"/>
            <w:vAlign w:val="center"/>
          </w:tcPr>
          <w:p w14:paraId="6224954A" w14:textId="77777777" w:rsidR="00D022EA" w:rsidRPr="00D022EA" w:rsidRDefault="00D022EA" w:rsidP="00D022EA">
            <w:pPr>
              <w:jc w:val="center"/>
            </w:pPr>
            <w:r w:rsidRPr="00D022EA">
              <w:t>Shwetha Tadimalla and Atiq Rahaman (ODGA)</w:t>
            </w:r>
          </w:p>
          <w:p w14:paraId="4F51C142" w14:textId="09A38B53" w:rsidR="00B43595" w:rsidRPr="00B43595" w:rsidRDefault="00B43595" w:rsidP="00B43595">
            <w:pPr>
              <w:jc w:val="center"/>
            </w:pPr>
          </w:p>
        </w:tc>
        <w:tc>
          <w:tcPr>
            <w:tcW w:w="3875" w:type="dxa"/>
            <w:vAlign w:val="center"/>
          </w:tcPr>
          <w:p w14:paraId="59395814" w14:textId="77777777" w:rsidR="00961836" w:rsidRPr="00961836" w:rsidRDefault="00961836" w:rsidP="00961836">
            <w:pPr>
              <w:jc w:val="center"/>
            </w:pPr>
            <w:r w:rsidRPr="00961836">
              <w:t>Updates in ODGA’s instance of Microsoft Purview</w:t>
            </w:r>
          </w:p>
          <w:p w14:paraId="0E6FD606" w14:textId="62FE84CB" w:rsidR="00B43595" w:rsidRPr="00B43595" w:rsidRDefault="00B43595" w:rsidP="00B43595">
            <w:pPr>
              <w:jc w:val="center"/>
            </w:pPr>
          </w:p>
        </w:tc>
      </w:tr>
      <w:tr w:rsidR="00961836" w14:paraId="797CE3F2" w14:textId="77777777" w:rsidTr="00973B0D">
        <w:trPr>
          <w:trHeight w:val="720"/>
          <w:jc w:val="center"/>
        </w:trPr>
        <w:tc>
          <w:tcPr>
            <w:tcW w:w="3595" w:type="dxa"/>
            <w:shd w:val="clear" w:color="auto" w:fill="F2F2F2" w:themeFill="background1" w:themeFillShade="F2"/>
            <w:vAlign w:val="center"/>
          </w:tcPr>
          <w:p w14:paraId="182B81AD" w14:textId="4BA94695" w:rsidR="00961836" w:rsidRPr="008A5A46" w:rsidRDefault="00961836" w:rsidP="00961836">
            <w:r w:rsidRPr="008A5A46">
              <w:t>1:</w:t>
            </w:r>
            <w:r>
              <w:t>26</w:t>
            </w:r>
            <w:r w:rsidRPr="008A5A46">
              <w:t xml:space="preserve"> PM: Government Data Collection and Dissemination Practices Act Update</w:t>
            </w:r>
          </w:p>
          <w:p w14:paraId="3D20D32E" w14:textId="0C64F584" w:rsidR="00961836" w:rsidRPr="00B43595" w:rsidRDefault="00961836" w:rsidP="00961836"/>
        </w:tc>
        <w:tc>
          <w:tcPr>
            <w:tcW w:w="3150" w:type="dxa"/>
            <w:shd w:val="clear" w:color="auto" w:fill="F2F2F2" w:themeFill="background1" w:themeFillShade="F2"/>
            <w:vAlign w:val="center"/>
          </w:tcPr>
          <w:p w14:paraId="2F5258F7" w14:textId="7879EA07" w:rsidR="00961836" w:rsidRPr="00B43595" w:rsidRDefault="00961836" w:rsidP="00961836">
            <w:pPr>
              <w:jc w:val="center"/>
            </w:pPr>
            <w:r>
              <w:rPr>
                <w:rFonts w:eastAsia="Roboto"/>
                <w:color w:val="000000"/>
                <w:kern w:val="24"/>
              </w:rPr>
              <w:t>Chris Burroughs (ODGA)</w:t>
            </w:r>
          </w:p>
        </w:tc>
        <w:tc>
          <w:tcPr>
            <w:tcW w:w="3875" w:type="dxa"/>
            <w:shd w:val="clear" w:color="auto" w:fill="F2F2F2" w:themeFill="background1" w:themeFillShade="F2"/>
            <w:vAlign w:val="center"/>
          </w:tcPr>
          <w:p w14:paraId="052BB9A0" w14:textId="35D3F822" w:rsidR="00961836" w:rsidRPr="00B43595" w:rsidRDefault="00961836" w:rsidP="00961836">
            <w:pPr>
              <w:jc w:val="center"/>
            </w:pPr>
            <w:r>
              <w:rPr>
                <w:rFonts w:eastAsia="Roboto"/>
                <w:color w:val="000000"/>
                <w:kern w:val="24"/>
              </w:rPr>
              <w:t>Updates on ODGA progress of agency compliance for the act</w:t>
            </w:r>
          </w:p>
        </w:tc>
      </w:tr>
      <w:tr w:rsidR="00961836" w14:paraId="077CDC8D" w14:textId="77777777" w:rsidTr="00973B0D">
        <w:trPr>
          <w:trHeight w:val="720"/>
          <w:jc w:val="center"/>
        </w:trPr>
        <w:tc>
          <w:tcPr>
            <w:tcW w:w="3595" w:type="dxa"/>
            <w:vAlign w:val="center"/>
          </w:tcPr>
          <w:p w14:paraId="6E1215DD" w14:textId="2066D133" w:rsidR="00961836" w:rsidRPr="008A5A46" w:rsidRDefault="00961836" w:rsidP="00961836">
            <w:r w:rsidRPr="008A5A46">
              <w:t>1:</w:t>
            </w:r>
            <w:r>
              <w:t>34</w:t>
            </w:r>
            <w:r w:rsidRPr="008A5A46">
              <w:t xml:space="preserve"> PM: Break</w:t>
            </w:r>
          </w:p>
          <w:p w14:paraId="16046912" w14:textId="39BEF6E2" w:rsidR="00961836" w:rsidRPr="00B43595" w:rsidRDefault="00961836" w:rsidP="00961836"/>
        </w:tc>
        <w:tc>
          <w:tcPr>
            <w:tcW w:w="3150" w:type="dxa"/>
            <w:vAlign w:val="center"/>
          </w:tcPr>
          <w:p w14:paraId="423F89F7" w14:textId="79130981" w:rsidR="00961836" w:rsidRPr="00B43595" w:rsidRDefault="00961836" w:rsidP="00961836">
            <w:pPr>
              <w:jc w:val="center"/>
            </w:pPr>
            <w:r>
              <w:rPr>
                <w:rFonts w:eastAsia="Roboto"/>
                <w:color w:val="173055" w:themeColor="text1"/>
                <w:kern w:val="24"/>
              </w:rPr>
              <w:t>Break</w:t>
            </w:r>
          </w:p>
        </w:tc>
        <w:tc>
          <w:tcPr>
            <w:tcW w:w="3875" w:type="dxa"/>
            <w:vAlign w:val="center"/>
          </w:tcPr>
          <w:p w14:paraId="1A9CABF0" w14:textId="14880C95" w:rsidR="00961836" w:rsidRPr="00B43595" w:rsidRDefault="00961836" w:rsidP="00961836">
            <w:pPr>
              <w:jc w:val="center"/>
            </w:pPr>
            <w:r>
              <w:rPr>
                <w:rFonts w:eastAsia="Roboto"/>
                <w:color w:val="173055" w:themeColor="text1"/>
                <w:kern w:val="24"/>
              </w:rPr>
              <w:t>Break</w:t>
            </w:r>
          </w:p>
        </w:tc>
      </w:tr>
      <w:tr w:rsidR="00961836" w14:paraId="0F54B48A" w14:textId="77777777" w:rsidTr="00973B0D">
        <w:trPr>
          <w:trHeight w:val="720"/>
          <w:jc w:val="center"/>
        </w:trPr>
        <w:tc>
          <w:tcPr>
            <w:tcW w:w="3595" w:type="dxa"/>
            <w:shd w:val="clear" w:color="auto" w:fill="F2F2F2" w:themeFill="background1" w:themeFillShade="F2"/>
            <w:vAlign w:val="center"/>
          </w:tcPr>
          <w:p w14:paraId="0C2F1654" w14:textId="0D292D26" w:rsidR="00961836" w:rsidRPr="00011002" w:rsidRDefault="00961836" w:rsidP="00961836">
            <w:r>
              <w:t>1</w:t>
            </w:r>
            <w:r w:rsidRPr="00011002">
              <w:t>:</w:t>
            </w:r>
            <w:r>
              <w:t>42</w:t>
            </w:r>
            <w:r w:rsidRPr="00011002">
              <w:t xml:space="preserve"> PM: Project Update: Substance Use Disorder Abatement </w:t>
            </w:r>
          </w:p>
          <w:p w14:paraId="19772763" w14:textId="03DB393A" w:rsidR="00961836" w:rsidRPr="00B43595" w:rsidRDefault="00961836" w:rsidP="00961836"/>
        </w:tc>
        <w:tc>
          <w:tcPr>
            <w:tcW w:w="3150" w:type="dxa"/>
            <w:shd w:val="clear" w:color="auto" w:fill="F2F2F2" w:themeFill="background1" w:themeFillShade="F2"/>
            <w:vAlign w:val="center"/>
          </w:tcPr>
          <w:p w14:paraId="0B2EBB56" w14:textId="23534344" w:rsidR="00961836" w:rsidRPr="00B43595" w:rsidRDefault="00961836" w:rsidP="00961836">
            <w:pPr>
              <w:jc w:val="center"/>
            </w:pPr>
            <w:r>
              <w:rPr>
                <w:rFonts w:eastAsia="Roboto"/>
                <w:color w:val="000000"/>
                <w:kern w:val="24"/>
              </w:rPr>
              <w:t>Guest Speaker from Deloitte</w:t>
            </w:r>
          </w:p>
        </w:tc>
        <w:tc>
          <w:tcPr>
            <w:tcW w:w="3875" w:type="dxa"/>
            <w:shd w:val="clear" w:color="auto" w:fill="F2F2F2" w:themeFill="background1" w:themeFillShade="F2"/>
            <w:vAlign w:val="center"/>
          </w:tcPr>
          <w:p w14:paraId="1AD598D4" w14:textId="0E463505" w:rsidR="00961836" w:rsidRPr="00B43595" w:rsidRDefault="00961836" w:rsidP="00961836">
            <w:pPr>
              <w:jc w:val="center"/>
            </w:pPr>
            <w:r>
              <w:rPr>
                <w:rFonts w:eastAsia="Roboto"/>
                <w:color w:val="000000"/>
                <w:kern w:val="24"/>
              </w:rPr>
              <w:t>Information about the project</w:t>
            </w:r>
          </w:p>
        </w:tc>
      </w:tr>
      <w:tr w:rsidR="00835FFB" w:rsidRPr="00B43595" w14:paraId="25A514D3" w14:textId="77777777" w:rsidTr="000C094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595" w:type="dxa"/>
          </w:tcPr>
          <w:p w14:paraId="0D1178C5" w14:textId="171C2878" w:rsidR="00835FFB" w:rsidRPr="0039747B" w:rsidRDefault="00835FFB" w:rsidP="00835FFB">
            <w:r>
              <w:lastRenderedPageBreak/>
              <w:t>1</w:t>
            </w:r>
            <w:r w:rsidRPr="0039747B">
              <w:t>:</w:t>
            </w:r>
            <w:r>
              <w:t>54</w:t>
            </w:r>
            <w:r w:rsidRPr="0039747B">
              <w:t xml:space="preserve"> PM: ODGA Events</w:t>
            </w:r>
          </w:p>
          <w:p w14:paraId="7C04FDE9" w14:textId="16B3DC27" w:rsidR="00835FFB" w:rsidRPr="008A5A46" w:rsidRDefault="00835FFB" w:rsidP="00835FFB"/>
          <w:p w14:paraId="668DE12F" w14:textId="77777777" w:rsidR="00835FFB" w:rsidRPr="00B43595" w:rsidRDefault="00835FFB" w:rsidP="00835FFB"/>
        </w:tc>
        <w:tc>
          <w:tcPr>
            <w:tcW w:w="3150" w:type="dxa"/>
            <w:vAlign w:val="center"/>
          </w:tcPr>
          <w:p w14:paraId="6C04A68E" w14:textId="3D759168" w:rsidR="00835FFB" w:rsidRPr="00B43595" w:rsidRDefault="00835FFB" w:rsidP="00835FFB">
            <w:pPr>
              <w:jc w:val="center"/>
            </w:pPr>
            <w:r>
              <w:rPr>
                <w:rFonts w:eastAsia="Roboto"/>
                <w:color w:val="000000"/>
                <w:kern w:val="24"/>
              </w:rPr>
              <w:t>Jessi Bailey (ODGA)</w:t>
            </w:r>
          </w:p>
        </w:tc>
        <w:tc>
          <w:tcPr>
            <w:tcW w:w="3875" w:type="dxa"/>
            <w:vAlign w:val="center"/>
          </w:tcPr>
          <w:p w14:paraId="097697AA" w14:textId="6B097D84" w:rsidR="00835FFB" w:rsidRPr="00B43595" w:rsidRDefault="00835FFB" w:rsidP="00835FFB">
            <w:pPr>
              <w:jc w:val="center"/>
            </w:pPr>
            <w:r>
              <w:rPr>
                <w:rFonts w:eastAsia="Roboto"/>
                <w:color w:val="000000"/>
                <w:kern w:val="24"/>
              </w:rPr>
              <w:t>Upcoming Events</w:t>
            </w:r>
          </w:p>
        </w:tc>
      </w:tr>
      <w:tr w:rsidR="00835FFB" w:rsidRPr="00B43595" w14:paraId="41148CD5" w14:textId="77777777" w:rsidTr="004A099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595" w:type="dxa"/>
            <w:shd w:val="clear" w:color="auto" w:fill="F2F2F2" w:themeFill="background1" w:themeFillShade="F2"/>
            <w:vAlign w:val="center"/>
          </w:tcPr>
          <w:p w14:paraId="5551A690" w14:textId="0056DC81" w:rsidR="00835FFB" w:rsidRPr="00F235FF" w:rsidRDefault="00835FFB" w:rsidP="00835FFB">
            <w:r w:rsidRPr="00F235FF">
              <w:t>2:</w:t>
            </w:r>
            <w:r>
              <w:t>24</w:t>
            </w:r>
            <w:r w:rsidRPr="00F235FF">
              <w:t xml:space="preserve"> PM: Public and Member Comment. Meeting Adjournment</w:t>
            </w:r>
          </w:p>
          <w:p w14:paraId="6A75CD9D" w14:textId="77777777" w:rsidR="00835FFB" w:rsidRPr="00B43595" w:rsidRDefault="00835FFB" w:rsidP="00835FFB"/>
        </w:tc>
        <w:tc>
          <w:tcPr>
            <w:tcW w:w="3150" w:type="dxa"/>
            <w:shd w:val="clear" w:color="auto" w:fill="F2F2F2" w:themeFill="background1" w:themeFillShade="F2"/>
            <w:vAlign w:val="center"/>
          </w:tcPr>
          <w:p w14:paraId="445DE6D6" w14:textId="5091E69E" w:rsidR="00835FFB" w:rsidRPr="00B43595" w:rsidRDefault="00835FFB" w:rsidP="00835FFB">
            <w:pPr>
              <w:jc w:val="center"/>
            </w:pPr>
            <w:r>
              <w:rPr>
                <w:rFonts w:eastAsia="Roboto"/>
                <w:color w:val="000000"/>
                <w:kern w:val="24"/>
              </w:rPr>
              <w:t>Marcus Thornton (ODGA)</w:t>
            </w:r>
          </w:p>
        </w:tc>
        <w:tc>
          <w:tcPr>
            <w:tcW w:w="3875" w:type="dxa"/>
            <w:shd w:val="clear" w:color="auto" w:fill="F2F2F2" w:themeFill="background1" w:themeFillShade="F2"/>
            <w:vAlign w:val="center"/>
          </w:tcPr>
          <w:p w14:paraId="616D81AC" w14:textId="77D48A6A" w:rsidR="00835FFB" w:rsidRPr="00B43595" w:rsidRDefault="00835FFB" w:rsidP="00835FFB">
            <w:pPr>
              <w:jc w:val="center"/>
            </w:pPr>
            <w:r>
              <w:rPr>
                <w:rFonts w:eastAsia="Roboto"/>
                <w:color w:val="000000"/>
                <w:kern w:val="24"/>
              </w:rPr>
              <w:t>N/A</w:t>
            </w:r>
          </w:p>
        </w:tc>
      </w:tr>
    </w:tbl>
    <w:p w14:paraId="69600FAA" w14:textId="77777777" w:rsidR="00B43595" w:rsidRDefault="00B43595" w:rsidP="00B43595"/>
    <w:p w14:paraId="7589083B" w14:textId="77777777" w:rsidR="00166527" w:rsidRPr="001B3210" w:rsidRDefault="00166527" w:rsidP="00166527">
      <w:pPr>
        <w:pStyle w:val="Heading4"/>
        <w:rPr>
          <w:rFonts w:eastAsiaTheme="minorHAnsi" w:cstheme="minorBidi"/>
          <w:sz w:val="24"/>
        </w:rPr>
      </w:pPr>
      <w:r w:rsidRPr="001B3210">
        <w:t>Agenda items:</w:t>
      </w:r>
      <w:r w:rsidRPr="001B3210">
        <w:rPr>
          <w:rFonts w:eastAsiaTheme="minorHAnsi" w:cstheme="minorBidi"/>
          <w:sz w:val="24"/>
        </w:rPr>
        <w:t xml:space="preserve"> </w:t>
      </w:r>
    </w:p>
    <w:p w14:paraId="250DA8EF" w14:textId="4889005D" w:rsidR="00166527" w:rsidRDefault="00E45FB0" w:rsidP="00BB1B5D">
      <w:pPr>
        <w:spacing w:line="276" w:lineRule="auto"/>
      </w:pPr>
      <w:r w:rsidRPr="005C0DB0">
        <w:rPr>
          <w:b/>
          <w:bCs/>
        </w:rPr>
        <w:t>Agenda Item 1:</w:t>
      </w:r>
      <w:r>
        <w:t xml:space="preserve"> </w:t>
      </w:r>
      <w:r w:rsidR="009E06A7">
        <w:t>Order of Business</w:t>
      </w:r>
      <w:r w:rsidR="00212EB1">
        <w:t xml:space="preserve">, 1:00 PM – 1:04 PM </w:t>
      </w:r>
    </w:p>
    <w:p w14:paraId="0FD003EA" w14:textId="50CA2523" w:rsidR="00BB1B5D" w:rsidRDefault="00BB1B5D" w:rsidP="00BB1B5D">
      <w:pPr>
        <w:spacing w:line="276" w:lineRule="auto"/>
      </w:pPr>
      <w:r w:rsidRPr="005C0DB0">
        <w:rPr>
          <w:b/>
          <w:bCs/>
        </w:rPr>
        <w:t>Presenter:</w:t>
      </w:r>
      <w:r>
        <w:t xml:space="preserve"> Deputy Chief Data Officer, Marcus Thornton</w:t>
      </w:r>
    </w:p>
    <w:p w14:paraId="680D7597" w14:textId="7FC74F2B" w:rsidR="00BB1B5D" w:rsidRDefault="00BB1B5D" w:rsidP="00BB1B5D">
      <w:pPr>
        <w:spacing w:line="276" w:lineRule="auto"/>
      </w:pPr>
      <w:r w:rsidRPr="005C0DB0">
        <w:rPr>
          <w:b/>
          <w:bCs/>
        </w:rPr>
        <w:t>Discussion:</w:t>
      </w:r>
      <w:r>
        <w:t xml:space="preserve"> </w:t>
      </w:r>
      <w:r w:rsidR="005521EC" w:rsidRPr="005521EC">
        <w:t xml:space="preserve">The agenda was reviewed, and a roll call of members was conducted. Following discussion, the Council </w:t>
      </w:r>
      <w:r w:rsidR="00B10510" w:rsidRPr="005521EC">
        <w:t>approved of</w:t>
      </w:r>
      <w:r w:rsidR="005521EC" w:rsidRPr="005521EC">
        <w:t xml:space="preserve"> the minutes from the previous meeting.</w:t>
      </w:r>
    </w:p>
    <w:p w14:paraId="3AA21C64" w14:textId="267A2A91" w:rsidR="00B42A4F" w:rsidRDefault="00B42A4F" w:rsidP="00BB1B5D">
      <w:pPr>
        <w:spacing w:line="276" w:lineRule="auto"/>
      </w:pPr>
      <w:r w:rsidRPr="005C0DB0">
        <w:rPr>
          <w:b/>
          <w:bCs/>
        </w:rPr>
        <w:t>Decision:</w:t>
      </w:r>
      <w:r>
        <w:t xml:space="preserve"> </w:t>
      </w:r>
      <w:r w:rsidR="00E13794">
        <w:t>Quorum has been met</w:t>
      </w:r>
      <w:r w:rsidR="00A17589">
        <w:t xml:space="preserve"> and motion approved. Attendee list and motion details are presented at the top.</w:t>
      </w:r>
    </w:p>
    <w:p w14:paraId="1ED47FE2" w14:textId="77777777" w:rsidR="005C0DB0" w:rsidRDefault="005C0DB0" w:rsidP="00BB1B5D">
      <w:pPr>
        <w:spacing w:line="276" w:lineRule="auto"/>
      </w:pPr>
    </w:p>
    <w:p w14:paraId="3FEE783E" w14:textId="7F39CF0D" w:rsidR="005C0DB0" w:rsidRDefault="005C0DB0" w:rsidP="00BB1B5D">
      <w:pPr>
        <w:spacing w:line="276" w:lineRule="auto"/>
      </w:pPr>
      <w:r w:rsidRPr="001349C6">
        <w:rPr>
          <w:b/>
          <w:bCs/>
        </w:rPr>
        <w:t>Agenda Item 2:</w:t>
      </w:r>
      <w:r>
        <w:t xml:space="preserve"> ODGA Updates, 1:04 PM – 1:13 PM</w:t>
      </w:r>
    </w:p>
    <w:p w14:paraId="2BF17923" w14:textId="724970A9" w:rsidR="005C0DB0" w:rsidRDefault="005C0DB0" w:rsidP="00BB1B5D">
      <w:pPr>
        <w:spacing w:line="276" w:lineRule="auto"/>
      </w:pPr>
      <w:r w:rsidRPr="001349C6">
        <w:rPr>
          <w:b/>
          <w:bCs/>
        </w:rPr>
        <w:t>Presenter:</w:t>
      </w:r>
      <w:r>
        <w:t xml:space="preserve"> </w:t>
      </w:r>
      <w:r w:rsidR="006237E6">
        <w:t>Data Engagement Manger, Jessi Bailey, and Director of Data Protection and Governance, Chris Burroughs</w:t>
      </w:r>
    </w:p>
    <w:p w14:paraId="295971BF" w14:textId="4B395306" w:rsidR="006237E6" w:rsidRPr="004D60AF" w:rsidRDefault="006237E6" w:rsidP="00D928DF">
      <w:pPr>
        <w:spacing w:line="276" w:lineRule="auto"/>
      </w:pPr>
      <w:r w:rsidRPr="001349C6">
        <w:rPr>
          <w:b/>
          <w:bCs/>
        </w:rPr>
        <w:t>Discussion:</w:t>
      </w:r>
      <w:r>
        <w:t xml:space="preserve"> </w:t>
      </w:r>
      <w:r w:rsidR="00D928DF" w:rsidRPr="00D928DF">
        <w:t xml:space="preserve">Jessi Bailey reported on the ODGA </w:t>
      </w:r>
      <w:r w:rsidR="00D928DF" w:rsidRPr="00D928DF">
        <w:rPr>
          <w:i/>
          <w:iCs/>
        </w:rPr>
        <w:t>Data Governance Awards</w:t>
      </w:r>
      <w:r w:rsidR="00D928DF" w:rsidRPr="00D928DF">
        <w:t xml:space="preserve"> initiative launched this summer. The contest, open to Commonwealth Data Trust members, assessed agency data governance policies and training efforts, with results categorized by large and medium-sized agencies. Winners were recognized, and the contest will be held annually. ODGA will provide support to agencies seeking to improve future scores. </w:t>
      </w:r>
      <w:r w:rsidR="008E07D3">
        <w:t>Jessi</w:t>
      </w:r>
      <w:r w:rsidR="00D928DF" w:rsidRPr="00D928DF">
        <w:t xml:space="preserve"> also noted that the Commonwealth’s Open Data Portal has grown from approximately 14,000 datasets in April 2025 to 20,000, and Virginia is currently ranked first in the nation.</w:t>
      </w:r>
    </w:p>
    <w:p w14:paraId="35FCDDDD" w14:textId="77777777" w:rsidR="00046B87" w:rsidRDefault="00046B87" w:rsidP="00BB1B5D">
      <w:pPr>
        <w:spacing w:line="276" w:lineRule="auto"/>
      </w:pPr>
    </w:p>
    <w:p w14:paraId="7434F19A" w14:textId="417A2E05" w:rsidR="00285821" w:rsidRDefault="00285821" w:rsidP="00BB1B5D">
      <w:pPr>
        <w:spacing w:line="276" w:lineRule="auto"/>
      </w:pPr>
      <w:r>
        <w:t xml:space="preserve">Chris Burroughs </w:t>
      </w:r>
      <w:r w:rsidR="006E6CC9">
        <w:t>provided an update</w:t>
      </w:r>
      <w:r w:rsidR="006E6CC9" w:rsidRPr="006E6CC9">
        <w:t xml:space="preserve"> on data classification. VITA has released SEC 540, establishing the enterprise standard requiring Public, Internal, and Confidential classifications. ODGA has issued a supporting policy and recommends an additional Restricted category for regulatory data. A practical data classification framework is in development to guide agencies in applying classifications across structured and unstructured data. Once finalized, ODGA will provide training to assist agencies with implementation.</w:t>
      </w:r>
      <w:r w:rsidR="00EF3456">
        <w:t xml:space="preserve"> Chris also </w:t>
      </w:r>
      <w:r w:rsidR="00A03A44" w:rsidRPr="00A03A44">
        <w:t>reported that enhancements in Microsoft Purview, supported by generative AI tools and pre-written prompts, now reduce data curation time by up to 90%. ODGA has created resources and APIs to assist agencies and encouraged them to seek support as needed.</w:t>
      </w:r>
    </w:p>
    <w:p w14:paraId="568AD783" w14:textId="77777777" w:rsidR="00052D94" w:rsidRDefault="00052D94" w:rsidP="00BB1B5D">
      <w:pPr>
        <w:spacing w:line="276" w:lineRule="auto"/>
      </w:pPr>
    </w:p>
    <w:p w14:paraId="36B148F6" w14:textId="1A1C9B9F" w:rsidR="00F90268" w:rsidRDefault="00052D94" w:rsidP="00BB1B5D">
      <w:pPr>
        <w:spacing w:line="276" w:lineRule="auto"/>
      </w:pPr>
      <w:r>
        <w:lastRenderedPageBreak/>
        <w:t>Key Points covered</w:t>
      </w:r>
    </w:p>
    <w:p w14:paraId="2431D3E9" w14:textId="1E8DA51C" w:rsidR="00052D94" w:rsidRDefault="00052D94" w:rsidP="00052D94">
      <w:pPr>
        <w:pStyle w:val="ListParagraph"/>
        <w:numPr>
          <w:ilvl w:val="0"/>
          <w:numId w:val="3"/>
        </w:numPr>
        <w:spacing w:line="276" w:lineRule="auto"/>
      </w:pPr>
      <w:r>
        <w:t>ODGA Data Governance Awards</w:t>
      </w:r>
    </w:p>
    <w:p w14:paraId="1EE97D7C" w14:textId="1CF841B5" w:rsidR="00052D94" w:rsidRDefault="00C954F1" w:rsidP="00052D94">
      <w:pPr>
        <w:pStyle w:val="ListParagraph"/>
        <w:numPr>
          <w:ilvl w:val="0"/>
          <w:numId w:val="3"/>
        </w:numPr>
        <w:spacing w:line="276" w:lineRule="auto"/>
      </w:pPr>
      <w:r>
        <w:t>Growth of the Open Data Portal</w:t>
      </w:r>
    </w:p>
    <w:p w14:paraId="68D86CD1" w14:textId="4BC6390D" w:rsidR="00C954F1" w:rsidRDefault="00C954F1" w:rsidP="00052D94">
      <w:pPr>
        <w:pStyle w:val="ListParagraph"/>
        <w:numPr>
          <w:ilvl w:val="0"/>
          <w:numId w:val="3"/>
        </w:numPr>
        <w:spacing w:line="276" w:lineRule="auto"/>
      </w:pPr>
      <w:r>
        <w:t>Data Classification</w:t>
      </w:r>
    </w:p>
    <w:p w14:paraId="0937A53D" w14:textId="054B107A" w:rsidR="00E43A65" w:rsidRDefault="00E43A65" w:rsidP="00052D94">
      <w:pPr>
        <w:pStyle w:val="ListParagraph"/>
        <w:numPr>
          <w:ilvl w:val="0"/>
          <w:numId w:val="3"/>
        </w:numPr>
        <w:spacing w:line="276" w:lineRule="auto"/>
      </w:pPr>
      <w:r>
        <w:t>Microsoft Purview Enhancements</w:t>
      </w:r>
    </w:p>
    <w:p w14:paraId="28723144" w14:textId="77777777" w:rsidR="008C2E1A" w:rsidRDefault="008C2E1A" w:rsidP="008C2E1A">
      <w:pPr>
        <w:pStyle w:val="ListParagraph"/>
        <w:spacing w:line="276" w:lineRule="auto"/>
      </w:pPr>
    </w:p>
    <w:p w14:paraId="4E0C3E04" w14:textId="15476451" w:rsidR="001349C6" w:rsidRDefault="001349C6" w:rsidP="00BB1B5D">
      <w:pPr>
        <w:spacing w:line="276" w:lineRule="auto"/>
      </w:pPr>
      <w:r w:rsidRPr="001349C6">
        <w:rPr>
          <w:b/>
          <w:bCs/>
        </w:rPr>
        <w:t>Decision:</w:t>
      </w:r>
      <w:r>
        <w:t xml:space="preserve"> N/A</w:t>
      </w:r>
    </w:p>
    <w:p w14:paraId="29CC26BA" w14:textId="77777777" w:rsidR="001349C6" w:rsidRDefault="001349C6" w:rsidP="00BB1B5D">
      <w:pPr>
        <w:spacing w:line="276" w:lineRule="auto"/>
      </w:pPr>
    </w:p>
    <w:p w14:paraId="67879AE2" w14:textId="7C8335DD" w:rsidR="001349C6" w:rsidRDefault="001349C6" w:rsidP="00BB1B5D">
      <w:pPr>
        <w:spacing w:line="276" w:lineRule="auto"/>
      </w:pPr>
      <w:r w:rsidRPr="0028237F">
        <w:rPr>
          <w:b/>
          <w:bCs/>
        </w:rPr>
        <w:t>Agenda Item 3:</w:t>
      </w:r>
      <w:r>
        <w:t xml:space="preserve"> </w:t>
      </w:r>
      <w:r w:rsidR="00466C8A">
        <w:t>Streamline Your Data Governance: Automating Metadata with AP and API’s</w:t>
      </w:r>
      <w:r w:rsidR="003804A7">
        <w:t>, 1:13 PM – 1:26 PM</w:t>
      </w:r>
    </w:p>
    <w:p w14:paraId="7CDF2E28" w14:textId="590AF687" w:rsidR="003804A7" w:rsidRDefault="003804A7" w:rsidP="00BB1B5D">
      <w:pPr>
        <w:spacing w:line="276" w:lineRule="auto"/>
      </w:pPr>
      <w:r w:rsidRPr="0028237F">
        <w:rPr>
          <w:b/>
          <w:bCs/>
        </w:rPr>
        <w:t>Presenter:</w:t>
      </w:r>
      <w:r>
        <w:t xml:space="preserve"> </w:t>
      </w:r>
      <w:r w:rsidR="001016EE">
        <w:t xml:space="preserve">Data Curation Lead, Shwetha Tadimalla, and </w:t>
      </w:r>
      <w:r w:rsidR="003406D7">
        <w:t>Senior Data Governance Analyst, Atiq Rahaman</w:t>
      </w:r>
    </w:p>
    <w:p w14:paraId="44AFA86B" w14:textId="6969C089" w:rsidR="003804A7" w:rsidRDefault="003804A7" w:rsidP="00BB1B5D">
      <w:pPr>
        <w:spacing w:line="276" w:lineRule="auto"/>
      </w:pPr>
      <w:r w:rsidRPr="0028237F">
        <w:rPr>
          <w:b/>
          <w:bCs/>
        </w:rPr>
        <w:t>Discussion:</w:t>
      </w:r>
      <w:r>
        <w:t xml:space="preserve"> </w:t>
      </w:r>
      <w:r w:rsidR="001C0FA7" w:rsidRPr="001C0FA7">
        <w:t xml:space="preserve">Shweta </w:t>
      </w:r>
      <w:r w:rsidR="001C0FA7">
        <w:t>Tadimalla</w:t>
      </w:r>
      <w:r w:rsidR="00995666">
        <w:t xml:space="preserve"> and Atiq Rahaman</w:t>
      </w:r>
      <w:r w:rsidR="001C0FA7" w:rsidRPr="001C0FA7">
        <w:t xml:space="preserve"> provided </w:t>
      </w:r>
      <w:r w:rsidR="001A0A45">
        <w:t>a demo</w:t>
      </w:r>
      <w:r w:rsidR="0013638E">
        <w:t>nstration</w:t>
      </w:r>
      <w:r w:rsidR="001A0A45">
        <w:t xml:space="preserve"> and</w:t>
      </w:r>
      <w:r w:rsidR="001C0FA7" w:rsidRPr="001C0FA7">
        <w:t xml:space="preserve"> overview of Microsoft Purview</w:t>
      </w:r>
      <w:r w:rsidR="004E7686">
        <w:t>,</w:t>
      </w:r>
      <w:r w:rsidR="001C0FA7" w:rsidRPr="001C0FA7">
        <w:t xml:space="preserve"> </w:t>
      </w:r>
      <w:r w:rsidR="004E7686" w:rsidRPr="004E7686">
        <w:t>ODGA’s data governance tool for metadata management</w:t>
      </w:r>
      <w:r w:rsidR="001C0FA7" w:rsidRPr="001C0FA7">
        <w:t xml:space="preserve">. Purview scans data sources to capture metadata without accessing the underlying data, supporting interagency collaboration by enabling agencies to review metadata at a high level. This facilitates discussions around data needs and agreements without exposing sensitive information. </w:t>
      </w:r>
      <w:r w:rsidR="001A0A45">
        <w:t>They</w:t>
      </w:r>
      <w:r w:rsidR="001C0FA7" w:rsidRPr="001C0FA7">
        <w:t xml:space="preserve"> noted that manual curation of metadata had previously been resource-intensive, but recent automation and the use of generative AI now allow for faster classification, tagging, and tiering—reducing tasks that once took hours to under 30 minutes for an entire database. Agencies are asked to review outputs to ensure accuracy.</w:t>
      </w:r>
    </w:p>
    <w:p w14:paraId="06C4B93C" w14:textId="42D9AF31" w:rsidR="003804A7" w:rsidRDefault="003804A7" w:rsidP="00BB1B5D">
      <w:pPr>
        <w:spacing w:line="276" w:lineRule="auto"/>
      </w:pPr>
      <w:r w:rsidRPr="0028237F">
        <w:rPr>
          <w:b/>
          <w:bCs/>
        </w:rPr>
        <w:t>Decision:</w:t>
      </w:r>
      <w:r>
        <w:t xml:space="preserve"> N/A</w:t>
      </w:r>
    </w:p>
    <w:p w14:paraId="7C908B8C" w14:textId="77777777" w:rsidR="00922098" w:rsidRDefault="00922098" w:rsidP="00BB1B5D">
      <w:pPr>
        <w:spacing w:line="276" w:lineRule="auto"/>
      </w:pPr>
    </w:p>
    <w:p w14:paraId="38A36222" w14:textId="333FD809" w:rsidR="00922098" w:rsidRDefault="00922098" w:rsidP="00BB1B5D">
      <w:pPr>
        <w:spacing w:line="276" w:lineRule="auto"/>
      </w:pPr>
      <w:r w:rsidRPr="00FB053D">
        <w:rPr>
          <w:b/>
          <w:bCs/>
        </w:rPr>
        <w:t>Agenda Item 4:</w:t>
      </w:r>
      <w:r>
        <w:t xml:space="preserve"> Government Data Classification and Dissemination Practices Act Update</w:t>
      </w:r>
      <w:r w:rsidR="007D65BC">
        <w:t>, 1:</w:t>
      </w:r>
      <w:r w:rsidR="00430E39">
        <w:t>26</w:t>
      </w:r>
      <w:r w:rsidR="007D65BC">
        <w:t xml:space="preserve"> PM</w:t>
      </w:r>
      <w:r w:rsidR="00430E39">
        <w:t xml:space="preserve"> – 1:34 PM</w:t>
      </w:r>
    </w:p>
    <w:p w14:paraId="389022BC" w14:textId="3EC877BC" w:rsidR="008B0470" w:rsidRDefault="008B0470" w:rsidP="00BB1B5D">
      <w:pPr>
        <w:spacing w:line="276" w:lineRule="auto"/>
      </w:pPr>
      <w:r w:rsidRPr="00FB053D">
        <w:rPr>
          <w:b/>
          <w:bCs/>
        </w:rPr>
        <w:t>Presenter:</w:t>
      </w:r>
      <w:r>
        <w:t xml:space="preserve"> Director of Data Protection and Governance, Chris Burroughs</w:t>
      </w:r>
    </w:p>
    <w:p w14:paraId="19B8B353" w14:textId="78D11B74" w:rsidR="00035F32" w:rsidRDefault="008B0470" w:rsidP="00035F32">
      <w:pPr>
        <w:spacing w:line="276" w:lineRule="auto"/>
      </w:pPr>
      <w:r w:rsidRPr="00FB053D">
        <w:rPr>
          <w:b/>
          <w:bCs/>
        </w:rPr>
        <w:t>Discussion:</w:t>
      </w:r>
      <w:r>
        <w:t xml:space="preserve"> </w:t>
      </w:r>
      <w:r w:rsidR="00035F32" w:rsidRPr="00181682">
        <w:t xml:space="preserve">Chris </w:t>
      </w:r>
      <w:r w:rsidR="00181F0E">
        <w:t xml:space="preserve">Burroughs </w:t>
      </w:r>
      <w:r w:rsidR="00035F32" w:rsidRPr="00181682">
        <w:t xml:space="preserve">provided an overview of the Virginia Government Data Collection and Dissemination Practices Act, a comprehensive privacy law governing how state and local agencies may share data. ODGA’s primary statutory purpose is to improve compliance with this Act. Generally permissible data sharing </w:t>
      </w:r>
      <w:r w:rsidR="00FB053D" w:rsidRPr="00181682">
        <w:t>includes</w:t>
      </w:r>
      <w:r w:rsidR="00035F32" w:rsidRPr="00181682">
        <w:t xml:space="preserve"> within an agency for routine administrative purposes, between agencies for official duties, and for statistical or research purposes where individual identities are removed. Sharing must also comply with FOIA, court orders, and other legal mandates.</w:t>
      </w:r>
    </w:p>
    <w:p w14:paraId="240A7AAC" w14:textId="77777777" w:rsidR="00181682" w:rsidRPr="00181682" w:rsidRDefault="00181682" w:rsidP="00035F32">
      <w:pPr>
        <w:spacing w:line="276" w:lineRule="auto"/>
      </w:pPr>
    </w:p>
    <w:p w14:paraId="5DC439E9" w14:textId="6FD76883" w:rsidR="00035F32" w:rsidRDefault="00035F32" w:rsidP="00035F32">
      <w:pPr>
        <w:spacing w:line="276" w:lineRule="auto"/>
      </w:pPr>
      <w:r w:rsidRPr="00035F32">
        <w:t xml:space="preserve">The Act specifies allowable purposes for data use, including improving agency services, reducing applicant burden, enhancing public programs, conducting outcome-related research, and analysis. Prohibited uses include sharing outside official duties, violating </w:t>
      </w:r>
      <w:r w:rsidRPr="00035F32">
        <w:lastRenderedPageBreak/>
        <w:t xml:space="preserve">privacy, circumventing laws such as PCI or HIPAA, commercial use, or sharing without legal authorization. Chris encouraged attendees to review the Act in more detail and to attend </w:t>
      </w:r>
      <w:r w:rsidR="006D2EC8">
        <w:t>ODGA’s L</w:t>
      </w:r>
      <w:r w:rsidRPr="00035F32">
        <w:t>unch-and-</w:t>
      </w:r>
      <w:r w:rsidR="006D2EC8">
        <w:t>L</w:t>
      </w:r>
      <w:r w:rsidRPr="00035F32">
        <w:t>earn session</w:t>
      </w:r>
      <w:r w:rsidR="006D2EC8">
        <w:t>s</w:t>
      </w:r>
      <w:r w:rsidRPr="00035F32">
        <w:t xml:space="preserve">. </w:t>
      </w:r>
      <w:r w:rsidR="00E10FCB">
        <w:t>She</w:t>
      </w:r>
      <w:r w:rsidRPr="00035F32">
        <w:t xml:space="preserve"> noted that legal interpretations should be referred to the Office of the Attorney General, which ODGA can facilitate as needed.</w:t>
      </w:r>
    </w:p>
    <w:p w14:paraId="1A6C7F40" w14:textId="2897C458" w:rsidR="00181682" w:rsidRDefault="00181682" w:rsidP="00035F32">
      <w:pPr>
        <w:spacing w:line="276" w:lineRule="auto"/>
      </w:pPr>
      <w:r w:rsidRPr="00FB053D">
        <w:rPr>
          <w:b/>
          <w:bCs/>
        </w:rPr>
        <w:t>Decision:</w:t>
      </w:r>
      <w:r>
        <w:t xml:space="preserve"> N/A</w:t>
      </w:r>
    </w:p>
    <w:p w14:paraId="512EA085" w14:textId="77777777" w:rsidR="00E10FCB" w:rsidRDefault="00E10FCB" w:rsidP="00035F32">
      <w:pPr>
        <w:spacing w:line="276" w:lineRule="auto"/>
      </w:pPr>
    </w:p>
    <w:p w14:paraId="5BF448E2" w14:textId="6ECD8BD2" w:rsidR="00E10FCB" w:rsidRDefault="00E10FCB" w:rsidP="00035F32">
      <w:pPr>
        <w:spacing w:line="276" w:lineRule="auto"/>
      </w:pPr>
      <w:r w:rsidRPr="00310E98">
        <w:rPr>
          <w:b/>
          <w:bCs/>
        </w:rPr>
        <w:t>Agenda Item 5:</w:t>
      </w:r>
      <w:r w:rsidR="00FB053D">
        <w:t xml:space="preserve"> Break 1:34 PM – 1:42 PM</w:t>
      </w:r>
    </w:p>
    <w:p w14:paraId="4FBC706E" w14:textId="77777777" w:rsidR="00811394" w:rsidRDefault="00811394" w:rsidP="00035F32">
      <w:pPr>
        <w:spacing w:line="276" w:lineRule="auto"/>
      </w:pPr>
    </w:p>
    <w:p w14:paraId="300EDFD6" w14:textId="03189536" w:rsidR="0006434E" w:rsidRDefault="0006434E" w:rsidP="00035F32">
      <w:pPr>
        <w:spacing w:line="276" w:lineRule="auto"/>
      </w:pPr>
      <w:r w:rsidRPr="00310E98">
        <w:rPr>
          <w:b/>
          <w:bCs/>
        </w:rPr>
        <w:t>Agenda Item 6:</w:t>
      </w:r>
      <w:r>
        <w:t xml:space="preserve"> Project Update: Substance Use Disorder Abatement</w:t>
      </w:r>
      <w:r w:rsidR="00410638">
        <w:t xml:space="preserve">, 1:42 PM </w:t>
      </w:r>
      <w:r w:rsidR="00CB119E">
        <w:t>– 2:</w:t>
      </w:r>
      <w:r w:rsidR="003A4504">
        <w:t>15 PM</w:t>
      </w:r>
    </w:p>
    <w:p w14:paraId="442887C2" w14:textId="6D614F38" w:rsidR="003A4504" w:rsidRDefault="003A4504" w:rsidP="00035F32">
      <w:pPr>
        <w:spacing w:line="276" w:lineRule="auto"/>
      </w:pPr>
      <w:r w:rsidRPr="00310E98">
        <w:rPr>
          <w:b/>
          <w:bCs/>
        </w:rPr>
        <w:t>Presenter:</w:t>
      </w:r>
      <w:r>
        <w:t xml:space="preserve"> Director of Data Protection and Governance, Chris Burroughs, Jeffrey Scheich (VITA), Max Tingle (Deloitte)</w:t>
      </w:r>
    </w:p>
    <w:p w14:paraId="00101F3B" w14:textId="3E915487" w:rsidR="00934A56" w:rsidRDefault="003A4504" w:rsidP="00934A56">
      <w:pPr>
        <w:spacing w:line="276" w:lineRule="auto"/>
      </w:pPr>
      <w:r w:rsidRPr="00310E98">
        <w:rPr>
          <w:b/>
          <w:bCs/>
        </w:rPr>
        <w:t>Discussion:</w:t>
      </w:r>
      <w:r>
        <w:t xml:space="preserve"> </w:t>
      </w:r>
      <w:r w:rsidR="00934A56" w:rsidRPr="00CB1F8D">
        <w:t xml:space="preserve">Jeff </w:t>
      </w:r>
      <w:r w:rsidR="00181F0E">
        <w:t xml:space="preserve">Scheich </w:t>
      </w:r>
      <w:r w:rsidR="00934A56" w:rsidRPr="00CB1F8D">
        <w:t xml:space="preserve">and Chris </w:t>
      </w:r>
      <w:r w:rsidR="00181F0E">
        <w:t xml:space="preserve">Burroughs </w:t>
      </w:r>
      <w:r w:rsidR="00934A56" w:rsidRPr="00CB1F8D">
        <w:t xml:space="preserve">provided an update on the </w:t>
      </w:r>
      <w:r w:rsidR="00CB1F8D">
        <w:t>Substance Use Disorder Abatement (SUDA)</w:t>
      </w:r>
      <w:r w:rsidR="00934A56" w:rsidRPr="00CB1F8D">
        <w:t xml:space="preserve"> project, a multi-agency collaboration focused on addressing substance use disorder outcomes, particularly in response to the opioid crisis. Deloitte is engaged in building the data analytics platform</w:t>
      </w:r>
      <w:r w:rsidR="00CB1F8D">
        <w:t xml:space="preserve">. </w:t>
      </w:r>
      <w:r w:rsidR="00934A56" w:rsidRPr="00CB1F8D">
        <w:t xml:space="preserve">The platform integrates data from multiple agencies, including </w:t>
      </w:r>
      <w:r w:rsidR="00CB1F8D">
        <w:t>the Virginia Department of Health (</w:t>
      </w:r>
      <w:r w:rsidR="00934A56" w:rsidRPr="00CB1F8D">
        <w:t>VDH</w:t>
      </w:r>
      <w:r w:rsidR="00CB1F8D">
        <w:t>)</w:t>
      </w:r>
      <w:r w:rsidR="00934A56" w:rsidRPr="00CB1F8D">
        <w:t xml:space="preserve">, </w:t>
      </w:r>
      <w:r w:rsidR="00746181">
        <w:t xml:space="preserve">the </w:t>
      </w:r>
      <w:r w:rsidR="00746181" w:rsidRPr="00746181">
        <w:t>Department of Behavioral Health and Developmental Services</w:t>
      </w:r>
      <w:r w:rsidR="00746181" w:rsidRPr="00CB1F8D">
        <w:t xml:space="preserve"> </w:t>
      </w:r>
      <w:r w:rsidR="00746181">
        <w:t>(</w:t>
      </w:r>
      <w:r w:rsidR="00934A56" w:rsidRPr="00CB1F8D">
        <w:t>DBHDS</w:t>
      </w:r>
      <w:r w:rsidR="00746181">
        <w:t>)</w:t>
      </w:r>
      <w:r w:rsidR="00934A56" w:rsidRPr="00CB1F8D">
        <w:t xml:space="preserve">, </w:t>
      </w:r>
      <w:r w:rsidR="00746181">
        <w:t>the Virginia State Police (</w:t>
      </w:r>
      <w:r w:rsidR="00934A56" w:rsidRPr="00CB1F8D">
        <w:t>VSP</w:t>
      </w:r>
      <w:r w:rsidR="00746181">
        <w:t>)</w:t>
      </w:r>
      <w:r w:rsidR="00934A56" w:rsidRPr="00CB1F8D">
        <w:t>, and others, into a secure AWS cloud environment using Power BI for visualization.</w:t>
      </w:r>
    </w:p>
    <w:p w14:paraId="781EE303" w14:textId="77777777" w:rsidR="003F7EC0" w:rsidRPr="00CB1F8D" w:rsidRDefault="003F7EC0" w:rsidP="00934A56">
      <w:pPr>
        <w:spacing w:line="276" w:lineRule="auto"/>
      </w:pPr>
    </w:p>
    <w:p w14:paraId="458BCFBD" w14:textId="37BE0A16" w:rsidR="00C142DE" w:rsidRDefault="00934A56" w:rsidP="00035F32">
      <w:pPr>
        <w:spacing w:line="276" w:lineRule="auto"/>
      </w:pPr>
      <w:r w:rsidRPr="00934A56">
        <w:t>The project includes phased releases, with Release 1 scheduled for October 1</w:t>
      </w:r>
      <w:r w:rsidR="001C788B">
        <w:t>, 2025</w:t>
      </w:r>
      <w:r w:rsidRPr="00934A56">
        <w:t>, focusing on initial use cases. Key features include role-based access, standardized terminology, and data governance measures to ensure accurate, secure reporting while protecting sensitive information. The platform enables agencies and stakeholders, including the Virginia Opioid Abatement Authority and General Assembly, to analyze trends, monitor outcomes, and inform resource allocation decisions. Collaborative efforts have emphasized agency involvement, trust-building, and transparent reporting, ensuring that agencies remain the data owners and that analyses reflect accurate, contextualized information.</w:t>
      </w:r>
    </w:p>
    <w:p w14:paraId="65C507F9" w14:textId="77777777" w:rsidR="004F49C7" w:rsidRDefault="004F49C7" w:rsidP="00035F32">
      <w:pPr>
        <w:spacing w:line="276" w:lineRule="auto"/>
      </w:pPr>
    </w:p>
    <w:p w14:paraId="0E367895" w14:textId="7298BDFC" w:rsidR="00310E98" w:rsidRDefault="004F49C7" w:rsidP="00310E98">
      <w:pPr>
        <w:spacing w:line="276" w:lineRule="auto"/>
      </w:pPr>
      <w:r>
        <w:t xml:space="preserve">Max Tingle </w:t>
      </w:r>
      <w:r w:rsidR="00310E98" w:rsidRPr="00310E98">
        <w:t xml:space="preserve">demonstrated the </w:t>
      </w:r>
      <w:r w:rsidR="00310E98">
        <w:t>SUDA</w:t>
      </w:r>
      <w:r w:rsidR="00310E98" w:rsidRPr="00310E98">
        <w:t xml:space="preserve"> platform, a multi-agency data dashboard supporting substance use disorder and opioid crisis abatement in Virginia. The platform integrates data from multiple agencies, provides interactive visualizations and filters, and includes contextual information on data sources and limitations. Key features include drilldowns by region and substance, cell suppression for sensitive data, and standardized metadata management through Purview. The demo emphasized ongoing data validation, collaboration with agency partners, and continuous improvement to ensure accurate, actionable insights for decision-making.</w:t>
      </w:r>
    </w:p>
    <w:p w14:paraId="3F88034B" w14:textId="77777777" w:rsidR="00456C3E" w:rsidRDefault="00456C3E" w:rsidP="00310E98">
      <w:pPr>
        <w:spacing w:line="276" w:lineRule="auto"/>
      </w:pPr>
    </w:p>
    <w:p w14:paraId="0E8C7B8E" w14:textId="4304E63B" w:rsidR="00456C3E" w:rsidRDefault="00456C3E" w:rsidP="00310E98">
      <w:pPr>
        <w:spacing w:line="276" w:lineRule="auto"/>
      </w:pPr>
      <w:r>
        <w:lastRenderedPageBreak/>
        <w:t xml:space="preserve">Key Points covered: </w:t>
      </w:r>
    </w:p>
    <w:p w14:paraId="60B4C98A" w14:textId="28179674" w:rsidR="00456C3E" w:rsidRDefault="00BF4580" w:rsidP="00456C3E">
      <w:pPr>
        <w:pStyle w:val="ListParagraph"/>
        <w:numPr>
          <w:ilvl w:val="0"/>
          <w:numId w:val="3"/>
        </w:numPr>
        <w:spacing w:line="276" w:lineRule="auto"/>
      </w:pPr>
      <w:r>
        <w:t>SUDA Project Overview</w:t>
      </w:r>
    </w:p>
    <w:p w14:paraId="2F3F3AF0" w14:textId="1740FEAD" w:rsidR="00456C3E" w:rsidRDefault="00284EAE" w:rsidP="00456C3E">
      <w:pPr>
        <w:pStyle w:val="ListParagraph"/>
        <w:numPr>
          <w:ilvl w:val="0"/>
          <w:numId w:val="3"/>
        </w:numPr>
        <w:spacing w:line="276" w:lineRule="auto"/>
      </w:pPr>
      <w:r>
        <w:t>Data Integration &amp; Platform</w:t>
      </w:r>
    </w:p>
    <w:p w14:paraId="1150C1CA" w14:textId="15775C18" w:rsidR="00456C3E" w:rsidRDefault="00F311F0" w:rsidP="00456C3E">
      <w:pPr>
        <w:pStyle w:val="ListParagraph"/>
        <w:numPr>
          <w:ilvl w:val="0"/>
          <w:numId w:val="3"/>
        </w:numPr>
        <w:spacing w:line="276" w:lineRule="auto"/>
      </w:pPr>
      <w:r>
        <w:t>Demonstration</w:t>
      </w:r>
      <w:r w:rsidR="00022EA8">
        <w:t xml:space="preserve"> </w:t>
      </w:r>
    </w:p>
    <w:p w14:paraId="7955830C" w14:textId="77777777" w:rsidR="00022EA8" w:rsidRDefault="00022EA8" w:rsidP="00022EA8">
      <w:pPr>
        <w:pStyle w:val="ListParagraph"/>
        <w:spacing w:line="276" w:lineRule="auto"/>
      </w:pPr>
    </w:p>
    <w:p w14:paraId="3F86ECB5" w14:textId="0FFA3E58" w:rsidR="003A4504" w:rsidRDefault="003A4504" w:rsidP="00310E98">
      <w:pPr>
        <w:spacing w:line="276" w:lineRule="auto"/>
      </w:pPr>
      <w:r w:rsidRPr="00310E98">
        <w:rPr>
          <w:b/>
          <w:bCs/>
        </w:rPr>
        <w:t>Decision:</w:t>
      </w:r>
      <w:r>
        <w:t xml:space="preserve"> </w:t>
      </w:r>
      <w:r w:rsidR="00746181">
        <w:t>N/A</w:t>
      </w:r>
    </w:p>
    <w:p w14:paraId="1CA30D71" w14:textId="77777777" w:rsidR="00746181" w:rsidRDefault="00746181" w:rsidP="00035F32">
      <w:pPr>
        <w:spacing w:line="276" w:lineRule="auto"/>
      </w:pPr>
    </w:p>
    <w:p w14:paraId="6D71DA7A" w14:textId="7C7470B4" w:rsidR="00746181" w:rsidRDefault="00746181" w:rsidP="00035F32">
      <w:pPr>
        <w:spacing w:line="276" w:lineRule="auto"/>
      </w:pPr>
      <w:r w:rsidRPr="00520DF7">
        <w:rPr>
          <w:b/>
          <w:bCs/>
        </w:rPr>
        <w:t>Agenda Item 7:</w:t>
      </w:r>
      <w:r>
        <w:t xml:space="preserve"> ODGA Updates, </w:t>
      </w:r>
      <w:r w:rsidR="008D76FD">
        <w:t>2:15 PM – 2:24 PM</w:t>
      </w:r>
    </w:p>
    <w:p w14:paraId="40DD2668" w14:textId="227EB6DA" w:rsidR="00D97BE9" w:rsidRDefault="00D97BE9" w:rsidP="00035F32">
      <w:pPr>
        <w:spacing w:line="276" w:lineRule="auto"/>
      </w:pPr>
      <w:r w:rsidRPr="00520DF7">
        <w:rPr>
          <w:b/>
          <w:bCs/>
        </w:rPr>
        <w:t>Presenter:</w:t>
      </w:r>
      <w:r>
        <w:t xml:space="preserve"> Data Engagement Manger, Jessi Bailey</w:t>
      </w:r>
    </w:p>
    <w:p w14:paraId="72C6C97E" w14:textId="6FD16B81" w:rsidR="006F7CF9" w:rsidRDefault="00D97BE9" w:rsidP="00035F32">
      <w:pPr>
        <w:spacing w:line="276" w:lineRule="auto"/>
      </w:pPr>
      <w:r w:rsidRPr="00520DF7">
        <w:rPr>
          <w:b/>
          <w:bCs/>
        </w:rPr>
        <w:t>Discussion:</w:t>
      </w:r>
      <w:r>
        <w:t xml:space="preserve"> </w:t>
      </w:r>
      <w:r w:rsidR="008A1C72" w:rsidRPr="008A1C72">
        <w:t xml:space="preserve">An overview of recent and upcoming ODGA events was provided. Recent events included </w:t>
      </w:r>
      <w:r w:rsidR="00C313E4">
        <w:t>L</w:t>
      </w:r>
      <w:r w:rsidR="008A1C72" w:rsidRPr="008A1C72">
        <w:t>unch-and-</w:t>
      </w:r>
      <w:r w:rsidR="00C313E4">
        <w:t>L</w:t>
      </w:r>
      <w:r w:rsidR="008A1C72" w:rsidRPr="008A1C72">
        <w:t>earn sessions on Power BI Basics Part 2, unstructured data, and the Virginia Government Data Collection and Dissemination Practices Act, all of which are available in the Data Governance and Literacy Library.</w:t>
      </w:r>
      <w:r w:rsidR="00E94B8A">
        <w:t xml:space="preserve"> </w:t>
      </w:r>
      <w:r w:rsidR="006F7CF9" w:rsidRPr="006F7CF9">
        <w:t>Upcoming ODGA events were highlighted, including participation in the 2025 Commonwealth of Virginia Innovative Technology Symposium (COVITS), with a focus on data governance and breaking down silos. Additional upcoming events include Lunch-and-Learns on data for executives, visualizations and best practices, and a repeat session on the Data Dissemination Practices Act on October 8th. Key meetings include the Executive Data Board on September 23rd and the Data Stewards Group on October 22nd. Chris Burroughs will present on records retention on October 23rd. ODGA also offers live, on-site Lunch-and-Learns for agencies on topics such as data stewardship, building a data strategy, and future data classification sessions.</w:t>
      </w:r>
    </w:p>
    <w:p w14:paraId="21713ECE" w14:textId="77777777" w:rsidR="00B02CF0" w:rsidRDefault="00B02CF0" w:rsidP="00035F32">
      <w:pPr>
        <w:spacing w:line="276" w:lineRule="auto"/>
      </w:pPr>
    </w:p>
    <w:p w14:paraId="33F1C9BA" w14:textId="1F0D94F1" w:rsidR="0034054B" w:rsidRDefault="0034054B" w:rsidP="00035F32">
      <w:pPr>
        <w:spacing w:line="276" w:lineRule="auto"/>
      </w:pPr>
      <w:r w:rsidRPr="0034054B">
        <w:t>A review was provided of the ODGA Resources page, a centralized repository offering data governance resources and tools. The page includes access to Lunch-and-Learn and data literacy videos, policies and procedure templates, job descriptions, training materials, resources on data management and inventory</w:t>
      </w:r>
      <w:r w:rsidR="0013172C">
        <w:t>, and more.</w:t>
      </w:r>
    </w:p>
    <w:p w14:paraId="0652BCF7" w14:textId="77777777" w:rsidR="00BE26D0" w:rsidRDefault="00BE26D0" w:rsidP="00035F32">
      <w:pPr>
        <w:spacing w:line="276" w:lineRule="auto"/>
      </w:pPr>
    </w:p>
    <w:p w14:paraId="2F8DFD37" w14:textId="01487891" w:rsidR="00BE26D0" w:rsidRDefault="00BE26D0" w:rsidP="00035F32">
      <w:pPr>
        <w:spacing w:line="276" w:lineRule="auto"/>
      </w:pPr>
      <w:r>
        <w:t xml:space="preserve">Key Points covered: </w:t>
      </w:r>
    </w:p>
    <w:p w14:paraId="1F5DE136" w14:textId="7E0DC206" w:rsidR="00BE26D0" w:rsidRDefault="00BE26D0" w:rsidP="00BE26D0">
      <w:pPr>
        <w:pStyle w:val="ListParagraph"/>
        <w:numPr>
          <w:ilvl w:val="0"/>
          <w:numId w:val="3"/>
        </w:numPr>
        <w:spacing w:line="276" w:lineRule="auto"/>
      </w:pPr>
      <w:r>
        <w:t>Lunch-and-Learns</w:t>
      </w:r>
    </w:p>
    <w:p w14:paraId="5B3FD052" w14:textId="7FB364F1" w:rsidR="00BE26D0" w:rsidRDefault="00763CCB" w:rsidP="00BE26D0">
      <w:pPr>
        <w:pStyle w:val="ListParagraph"/>
        <w:numPr>
          <w:ilvl w:val="0"/>
          <w:numId w:val="3"/>
        </w:numPr>
        <w:spacing w:line="276" w:lineRule="auto"/>
      </w:pPr>
      <w:r>
        <w:t>Upcoming ODGA Events</w:t>
      </w:r>
    </w:p>
    <w:p w14:paraId="17C04212" w14:textId="6C32E268" w:rsidR="00763CCB" w:rsidRDefault="00763CCB" w:rsidP="00BE26D0">
      <w:pPr>
        <w:pStyle w:val="ListParagraph"/>
        <w:numPr>
          <w:ilvl w:val="0"/>
          <w:numId w:val="3"/>
        </w:numPr>
        <w:spacing w:line="276" w:lineRule="auto"/>
      </w:pPr>
      <w:r>
        <w:t>ODGA Resources Page</w:t>
      </w:r>
    </w:p>
    <w:p w14:paraId="51F990E7" w14:textId="77777777" w:rsidR="00763CCB" w:rsidRDefault="00763CCB" w:rsidP="00763CCB">
      <w:pPr>
        <w:pStyle w:val="ListParagraph"/>
        <w:spacing w:line="276" w:lineRule="auto"/>
      </w:pPr>
    </w:p>
    <w:p w14:paraId="60AF545F" w14:textId="318AC69A" w:rsidR="00D97BE9" w:rsidRDefault="00D97BE9" w:rsidP="00035F32">
      <w:pPr>
        <w:spacing w:line="276" w:lineRule="auto"/>
      </w:pPr>
      <w:r w:rsidRPr="00520DF7">
        <w:rPr>
          <w:b/>
          <w:bCs/>
        </w:rPr>
        <w:t>Decision:</w:t>
      </w:r>
      <w:r>
        <w:t xml:space="preserve"> N/A</w:t>
      </w:r>
    </w:p>
    <w:p w14:paraId="3B6D2AE5" w14:textId="77777777" w:rsidR="00D97BE9" w:rsidRDefault="00D97BE9" w:rsidP="00035F32">
      <w:pPr>
        <w:spacing w:line="276" w:lineRule="auto"/>
      </w:pPr>
    </w:p>
    <w:p w14:paraId="0FAFBB96" w14:textId="7FBEAD16" w:rsidR="00D97BE9" w:rsidRDefault="00D97BE9" w:rsidP="00035F32">
      <w:pPr>
        <w:spacing w:line="276" w:lineRule="auto"/>
      </w:pPr>
      <w:r w:rsidRPr="00D545B0">
        <w:rPr>
          <w:b/>
          <w:bCs/>
        </w:rPr>
        <w:t>Agenda Item 8:</w:t>
      </w:r>
      <w:r>
        <w:t xml:space="preserve"> Public </w:t>
      </w:r>
      <w:r w:rsidR="00D83223">
        <w:t>&amp;</w:t>
      </w:r>
      <w:r>
        <w:t xml:space="preserve"> Member Comment</w:t>
      </w:r>
      <w:r w:rsidR="000A20F9">
        <w:t>, Meeting Adjournment, 2:24 PM – 2:25 PM</w:t>
      </w:r>
    </w:p>
    <w:p w14:paraId="4EBF834C" w14:textId="297FF91D" w:rsidR="000A20F9" w:rsidRDefault="000A20F9" w:rsidP="00035F32">
      <w:pPr>
        <w:spacing w:line="276" w:lineRule="auto"/>
      </w:pPr>
      <w:r w:rsidRPr="00D545B0">
        <w:rPr>
          <w:b/>
          <w:bCs/>
        </w:rPr>
        <w:t>Presenter:</w:t>
      </w:r>
      <w:r>
        <w:t xml:space="preserve"> Deputy Chief Data Officer, Marcus Thornton</w:t>
      </w:r>
    </w:p>
    <w:p w14:paraId="50BA91B9" w14:textId="4CB770AC" w:rsidR="000A20F9" w:rsidRDefault="00DC36EE" w:rsidP="00035F32">
      <w:pPr>
        <w:spacing w:line="276" w:lineRule="auto"/>
      </w:pPr>
      <w:r w:rsidRPr="00441A33">
        <w:rPr>
          <w:b/>
          <w:bCs/>
        </w:rPr>
        <w:lastRenderedPageBreak/>
        <w:t>Discussion:</w:t>
      </w:r>
      <w:r>
        <w:t xml:space="preserve"> </w:t>
      </w:r>
      <w:r w:rsidR="0071175A">
        <w:t xml:space="preserve">Marcus opened the floor </w:t>
      </w:r>
      <w:r w:rsidR="009E203F">
        <w:t xml:space="preserve">for </w:t>
      </w:r>
      <w:r w:rsidR="00D83223">
        <w:t>the public</w:t>
      </w:r>
      <w:r w:rsidR="009E203F">
        <w:t xml:space="preserve"> and member comments. No additional comments were made.</w:t>
      </w:r>
    </w:p>
    <w:p w14:paraId="1CE33DC0" w14:textId="4E42C84B" w:rsidR="00DC36EE" w:rsidRDefault="00DC36EE" w:rsidP="00035F32">
      <w:pPr>
        <w:spacing w:line="276" w:lineRule="auto"/>
      </w:pPr>
      <w:r w:rsidRPr="00441A33">
        <w:rPr>
          <w:b/>
          <w:bCs/>
        </w:rPr>
        <w:t>Decision:</w:t>
      </w:r>
      <w:r>
        <w:t xml:space="preserve"> N/A</w:t>
      </w:r>
    </w:p>
    <w:p w14:paraId="4A48580F" w14:textId="77777777" w:rsidR="00BB1B5D" w:rsidRPr="00BB1B5D" w:rsidRDefault="00BB1B5D" w:rsidP="00BB1B5D">
      <w:pPr>
        <w:spacing w:line="276" w:lineRule="auto"/>
      </w:pPr>
    </w:p>
    <w:p w14:paraId="78C73E9F" w14:textId="2F489FC0" w:rsidR="00787A86" w:rsidRDefault="00787A86" w:rsidP="004F31C5">
      <w:r w:rsidRPr="004F31C5">
        <w:rPr>
          <w:rStyle w:val="Heading4Char"/>
        </w:rPr>
        <w:t>Next meeting:</w:t>
      </w:r>
      <w:r w:rsidRPr="001B3210">
        <w:t xml:space="preserve"> </w:t>
      </w:r>
      <w:r w:rsidR="00DC36EE">
        <w:t>TBD</w:t>
      </w:r>
      <w:r w:rsidR="00173957">
        <w:t xml:space="preserve"> </w:t>
      </w:r>
    </w:p>
    <w:p w14:paraId="55618A43" w14:textId="20F619AA" w:rsidR="00A223A8" w:rsidRDefault="00C31CDF" w:rsidP="00A223A8">
      <w:pPr>
        <w:spacing w:line="276" w:lineRule="auto"/>
      </w:pPr>
      <w:r w:rsidRPr="001B3210">
        <w:rPr>
          <w:rStyle w:val="Heading4Char"/>
        </w:rPr>
        <w:t xml:space="preserve">Approval of minutes: </w:t>
      </w:r>
      <w:r w:rsidR="00DC36EE">
        <w:t xml:space="preserve">Motion to approve previous meeting minutes </w:t>
      </w:r>
      <w:r w:rsidR="002B33DF">
        <w:t>were</w:t>
      </w:r>
      <w:r w:rsidR="00DC36EE">
        <w:t xml:space="preserve"> </w:t>
      </w:r>
      <w:r w:rsidR="002B33DF">
        <w:t>carried out</w:t>
      </w:r>
      <w:r w:rsidR="00DC36EE">
        <w:t xml:space="preserve"> by unanimous vote. Motion details can be found at the top.</w:t>
      </w:r>
    </w:p>
    <w:sectPr w:rsidR="00A223A8" w:rsidSect="00544202">
      <w:footerReference w:type="default" r:id="rId10"/>
      <w:headerReference w:type="first" r:id="rId11"/>
      <w:footerReference w:type="first" r:id="rId12"/>
      <w:pgSz w:w="12240" w:h="15840"/>
      <w:pgMar w:top="1440"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A967" w14:textId="77777777" w:rsidR="00AD7CC2" w:rsidRDefault="00AD7CC2" w:rsidP="007D2AB9">
      <w:r>
        <w:separator/>
      </w:r>
    </w:p>
  </w:endnote>
  <w:endnote w:type="continuationSeparator" w:id="0">
    <w:p w14:paraId="06C8E23A" w14:textId="77777777" w:rsidR="00AD7CC2" w:rsidRDefault="00AD7CC2" w:rsidP="007D2AB9">
      <w:r>
        <w:continuationSeparator/>
      </w:r>
    </w:p>
  </w:endnote>
  <w:endnote w:type="continuationNotice" w:id="1">
    <w:p w14:paraId="6129FD52" w14:textId="77777777" w:rsidR="00AD7CC2" w:rsidRDefault="00AD7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7BD9" w14:textId="12C80BBA" w:rsidR="006D3262" w:rsidRDefault="006D3262" w:rsidP="006D3262">
    <w:pPr>
      <w:pStyle w:val="Footer"/>
      <w:jc w:val="center"/>
    </w:pPr>
    <w:r>
      <w:rPr>
        <w:noProof/>
      </w:rPr>
      <w:drawing>
        <wp:inline distT="0" distB="0" distL="0" distR="0" wp14:anchorId="1F769485" wp14:editId="7668E2AB">
          <wp:extent cx="2606722" cy="631907"/>
          <wp:effectExtent l="0" t="0" r="3175" b="0"/>
          <wp:docPr id="861781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10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265" w14:textId="0E473AF7" w:rsidR="006C1D72" w:rsidRDefault="0049398F" w:rsidP="006D3262">
    <w:pPr>
      <w:pStyle w:val="Footer"/>
      <w:jc w:val="center"/>
    </w:pPr>
    <w:r>
      <w:rPr>
        <w:noProof/>
      </w:rPr>
      <w:drawing>
        <wp:inline distT="0" distB="0" distL="0" distR="0" wp14:anchorId="6D66CAE1" wp14:editId="30CCA62B">
          <wp:extent cx="2606722" cy="631907"/>
          <wp:effectExtent l="0" t="0" r="3175" b="0"/>
          <wp:docPr id="2644244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2449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0F12" w14:textId="77777777" w:rsidR="00AD7CC2" w:rsidRDefault="00AD7CC2" w:rsidP="007D2AB9">
      <w:r>
        <w:separator/>
      </w:r>
    </w:p>
  </w:footnote>
  <w:footnote w:type="continuationSeparator" w:id="0">
    <w:p w14:paraId="6745475E" w14:textId="77777777" w:rsidR="00AD7CC2" w:rsidRDefault="00AD7CC2" w:rsidP="007D2AB9">
      <w:r>
        <w:continuationSeparator/>
      </w:r>
    </w:p>
  </w:footnote>
  <w:footnote w:type="continuationNotice" w:id="1">
    <w:p w14:paraId="2AC0657E" w14:textId="77777777" w:rsidR="00AD7CC2" w:rsidRDefault="00AD7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0C14" w14:textId="72A8ABFC" w:rsidR="00544202" w:rsidRDefault="005442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61461"/>
    <w:multiLevelType w:val="hybridMultilevel"/>
    <w:tmpl w:val="D0001728"/>
    <w:lvl w:ilvl="0" w:tplc="7D3869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3161E2F"/>
    <w:multiLevelType w:val="hybridMultilevel"/>
    <w:tmpl w:val="3076687C"/>
    <w:lvl w:ilvl="0" w:tplc="A2A8849E">
      <w:start w:val="1"/>
      <w:numFmt w:val="bullet"/>
      <w:lvlText w:val=""/>
      <w:lvlJc w:val="left"/>
      <w:pPr>
        <w:ind w:left="720" w:hanging="360"/>
      </w:pPr>
      <w:rPr>
        <w:rFonts w:ascii="Symbol" w:eastAsiaTheme="majorEastAsia" w:hAnsi="Symbol" w:cstheme="majorBidi" w:hint="default"/>
        <w:b/>
        <w:color w:val="075A83" w:themeColor="accen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65BF4"/>
    <w:multiLevelType w:val="hybridMultilevel"/>
    <w:tmpl w:val="F8F8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969235">
    <w:abstractNumId w:val="2"/>
  </w:num>
  <w:num w:numId="2" w16cid:durableId="2069524202">
    <w:abstractNumId w:val="0"/>
  </w:num>
  <w:num w:numId="3" w16cid:durableId="22973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B9"/>
    <w:rsid w:val="00001920"/>
    <w:rsid w:val="00005F71"/>
    <w:rsid w:val="00011002"/>
    <w:rsid w:val="00015A99"/>
    <w:rsid w:val="00022EA8"/>
    <w:rsid w:val="00030F13"/>
    <w:rsid w:val="00033FCC"/>
    <w:rsid w:val="00035F32"/>
    <w:rsid w:val="00046B87"/>
    <w:rsid w:val="00050B66"/>
    <w:rsid w:val="00052D94"/>
    <w:rsid w:val="0005705D"/>
    <w:rsid w:val="0006434E"/>
    <w:rsid w:val="00066729"/>
    <w:rsid w:val="00080BD5"/>
    <w:rsid w:val="00085D09"/>
    <w:rsid w:val="000A20F9"/>
    <w:rsid w:val="000A2E5C"/>
    <w:rsid w:val="000B0937"/>
    <w:rsid w:val="000D0DC3"/>
    <w:rsid w:val="000D10EE"/>
    <w:rsid w:val="000D31E7"/>
    <w:rsid w:val="001016EE"/>
    <w:rsid w:val="00124A97"/>
    <w:rsid w:val="0013172C"/>
    <w:rsid w:val="001349C6"/>
    <w:rsid w:val="0013638E"/>
    <w:rsid w:val="00136D17"/>
    <w:rsid w:val="00147D23"/>
    <w:rsid w:val="001559F8"/>
    <w:rsid w:val="00166527"/>
    <w:rsid w:val="00170FAE"/>
    <w:rsid w:val="00173957"/>
    <w:rsid w:val="00181682"/>
    <w:rsid w:val="00181F0E"/>
    <w:rsid w:val="001900EA"/>
    <w:rsid w:val="001A0A45"/>
    <w:rsid w:val="001B05E1"/>
    <w:rsid w:val="001B3210"/>
    <w:rsid w:val="001C0FA7"/>
    <w:rsid w:val="001C788B"/>
    <w:rsid w:val="001E5AA6"/>
    <w:rsid w:val="00204CE5"/>
    <w:rsid w:val="00212EB1"/>
    <w:rsid w:val="00220F0C"/>
    <w:rsid w:val="0028237F"/>
    <w:rsid w:val="00282A00"/>
    <w:rsid w:val="00284EAE"/>
    <w:rsid w:val="00285821"/>
    <w:rsid w:val="002A1615"/>
    <w:rsid w:val="002B07C2"/>
    <w:rsid w:val="002B33DF"/>
    <w:rsid w:val="002B3AC1"/>
    <w:rsid w:val="002B673D"/>
    <w:rsid w:val="002C2349"/>
    <w:rsid w:val="002C34E8"/>
    <w:rsid w:val="002C58C4"/>
    <w:rsid w:val="002C63BA"/>
    <w:rsid w:val="002C6C23"/>
    <w:rsid w:val="002E0FB1"/>
    <w:rsid w:val="002E76E5"/>
    <w:rsid w:val="00300E23"/>
    <w:rsid w:val="00301D89"/>
    <w:rsid w:val="00310E98"/>
    <w:rsid w:val="003176BC"/>
    <w:rsid w:val="003341A4"/>
    <w:rsid w:val="0034054B"/>
    <w:rsid w:val="003406D7"/>
    <w:rsid w:val="00352691"/>
    <w:rsid w:val="0036289E"/>
    <w:rsid w:val="0037785D"/>
    <w:rsid w:val="003804A7"/>
    <w:rsid w:val="00396765"/>
    <w:rsid w:val="0039747B"/>
    <w:rsid w:val="003A4504"/>
    <w:rsid w:val="003D16A2"/>
    <w:rsid w:val="003F6727"/>
    <w:rsid w:val="003F7EC0"/>
    <w:rsid w:val="00410638"/>
    <w:rsid w:val="00415A68"/>
    <w:rsid w:val="00420E27"/>
    <w:rsid w:val="00430E39"/>
    <w:rsid w:val="0043113D"/>
    <w:rsid w:val="004372BD"/>
    <w:rsid w:val="00441A33"/>
    <w:rsid w:val="0044381A"/>
    <w:rsid w:val="00456C3E"/>
    <w:rsid w:val="00466C8A"/>
    <w:rsid w:val="004714B2"/>
    <w:rsid w:val="00481C15"/>
    <w:rsid w:val="0049398F"/>
    <w:rsid w:val="00494FED"/>
    <w:rsid w:val="004A099D"/>
    <w:rsid w:val="004A3E50"/>
    <w:rsid w:val="004A53B0"/>
    <w:rsid w:val="004A685D"/>
    <w:rsid w:val="004B04C5"/>
    <w:rsid w:val="004B6305"/>
    <w:rsid w:val="004D60AF"/>
    <w:rsid w:val="004E7686"/>
    <w:rsid w:val="004F31C5"/>
    <w:rsid w:val="004F49C7"/>
    <w:rsid w:val="005075F8"/>
    <w:rsid w:val="00520DF7"/>
    <w:rsid w:val="00532027"/>
    <w:rsid w:val="00544202"/>
    <w:rsid w:val="00550744"/>
    <w:rsid w:val="005521EC"/>
    <w:rsid w:val="0058682A"/>
    <w:rsid w:val="0058788C"/>
    <w:rsid w:val="005C0DB0"/>
    <w:rsid w:val="006237E6"/>
    <w:rsid w:val="0063250C"/>
    <w:rsid w:val="00636ABB"/>
    <w:rsid w:val="00656E2B"/>
    <w:rsid w:val="00662C9D"/>
    <w:rsid w:val="00665107"/>
    <w:rsid w:val="006A4FD1"/>
    <w:rsid w:val="006C1D72"/>
    <w:rsid w:val="006C43E6"/>
    <w:rsid w:val="006D2EC8"/>
    <w:rsid w:val="006D3262"/>
    <w:rsid w:val="006D35FC"/>
    <w:rsid w:val="006D4871"/>
    <w:rsid w:val="006E6CC9"/>
    <w:rsid w:val="006F7CF9"/>
    <w:rsid w:val="00705811"/>
    <w:rsid w:val="0071175A"/>
    <w:rsid w:val="00715A60"/>
    <w:rsid w:val="00723AF8"/>
    <w:rsid w:val="00746181"/>
    <w:rsid w:val="00753CEA"/>
    <w:rsid w:val="00763CCB"/>
    <w:rsid w:val="007748E4"/>
    <w:rsid w:val="00787A86"/>
    <w:rsid w:val="00795088"/>
    <w:rsid w:val="0079693F"/>
    <w:rsid w:val="0079774F"/>
    <w:rsid w:val="007A398F"/>
    <w:rsid w:val="007A7B65"/>
    <w:rsid w:val="007B59F0"/>
    <w:rsid w:val="007C2E7E"/>
    <w:rsid w:val="007D2AB9"/>
    <w:rsid w:val="007D65BC"/>
    <w:rsid w:val="007E1BC0"/>
    <w:rsid w:val="00807D9B"/>
    <w:rsid w:val="00811394"/>
    <w:rsid w:val="00812131"/>
    <w:rsid w:val="008141E2"/>
    <w:rsid w:val="008243A4"/>
    <w:rsid w:val="0083431E"/>
    <w:rsid w:val="00835FFB"/>
    <w:rsid w:val="008557B2"/>
    <w:rsid w:val="00887CC8"/>
    <w:rsid w:val="00891D40"/>
    <w:rsid w:val="00894686"/>
    <w:rsid w:val="008A1C72"/>
    <w:rsid w:val="008A5A46"/>
    <w:rsid w:val="008B0470"/>
    <w:rsid w:val="008C2E1A"/>
    <w:rsid w:val="008D76FD"/>
    <w:rsid w:val="008E07D3"/>
    <w:rsid w:val="008E6D01"/>
    <w:rsid w:val="00922098"/>
    <w:rsid w:val="009349E2"/>
    <w:rsid w:val="00934A56"/>
    <w:rsid w:val="0093554D"/>
    <w:rsid w:val="0094349B"/>
    <w:rsid w:val="009609B4"/>
    <w:rsid w:val="00961836"/>
    <w:rsid w:val="00973B0D"/>
    <w:rsid w:val="00995666"/>
    <w:rsid w:val="009A1B53"/>
    <w:rsid w:val="009B2CEE"/>
    <w:rsid w:val="009B45A0"/>
    <w:rsid w:val="009D2015"/>
    <w:rsid w:val="009E06A7"/>
    <w:rsid w:val="009E203F"/>
    <w:rsid w:val="009F504D"/>
    <w:rsid w:val="00A03A44"/>
    <w:rsid w:val="00A1691E"/>
    <w:rsid w:val="00A17589"/>
    <w:rsid w:val="00A223A8"/>
    <w:rsid w:val="00A252F5"/>
    <w:rsid w:val="00A80664"/>
    <w:rsid w:val="00A83BB3"/>
    <w:rsid w:val="00A846B7"/>
    <w:rsid w:val="00A97790"/>
    <w:rsid w:val="00A97DAE"/>
    <w:rsid w:val="00AB79F7"/>
    <w:rsid w:val="00AD7CC2"/>
    <w:rsid w:val="00B02CF0"/>
    <w:rsid w:val="00B10510"/>
    <w:rsid w:val="00B154FF"/>
    <w:rsid w:val="00B42A4F"/>
    <w:rsid w:val="00B43595"/>
    <w:rsid w:val="00B46D35"/>
    <w:rsid w:val="00B6024A"/>
    <w:rsid w:val="00BB1B5D"/>
    <w:rsid w:val="00BC4D54"/>
    <w:rsid w:val="00BD12E8"/>
    <w:rsid w:val="00BD3E15"/>
    <w:rsid w:val="00BE26D0"/>
    <w:rsid w:val="00BE79CE"/>
    <w:rsid w:val="00BF0DE9"/>
    <w:rsid w:val="00BF4580"/>
    <w:rsid w:val="00BF6639"/>
    <w:rsid w:val="00C068C4"/>
    <w:rsid w:val="00C142DE"/>
    <w:rsid w:val="00C313E4"/>
    <w:rsid w:val="00C31CDF"/>
    <w:rsid w:val="00C57F8E"/>
    <w:rsid w:val="00C72DE0"/>
    <w:rsid w:val="00C954F1"/>
    <w:rsid w:val="00CB119E"/>
    <w:rsid w:val="00CB1F8D"/>
    <w:rsid w:val="00CC0B29"/>
    <w:rsid w:val="00CD6E6C"/>
    <w:rsid w:val="00CE09F8"/>
    <w:rsid w:val="00CF2D59"/>
    <w:rsid w:val="00D022EA"/>
    <w:rsid w:val="00D21195"/>
    <w:rsid w:val="00D21975"/>
    <w:rsid w:val="00D32B89"/>
    <w:rsid w:val="00D330D1"/>
    <w:rsid w:val="00D35D11"/>
    <w:rsid w:val="00D41123"/>
    <w:rsid w:val="00D545B0"/>
    <w:rsid w:val="00D60130"/>
    <w:rsid w:val="00D73B81"/>
    <w:rsid w:val="00D8139C"/>
    <w:rsid w:val="00D83223"/>
    <w:rsid w:val="00D91DF0"/>
    <w:rsid w:val="00D928DF"/>
    <w:rsid w:val="00D97BE9"/>
    <w:rsid w:val="00DB3D63"/>
    <w:rsid w:val="00DB4881"/>
    <w:rsid w:val="00DB6368"/>
    <w:rsid w:val="00DC1B41"/>
    <w:rsid w:val="00DC36EE"/>
    <w:rsid w:val="00DC7F7B"/>
    <w:rsid w:val="00E10FCB"/>
    <w:rsid w:val="00E13794"/>
    <w:rsid w:val="00E35AC8"/>
    <w:rsid w:val="00E43A65"/>
    <w:rsid w:val="00E45FB0"/>
    <w:rsid w:val="00E6429B"/>
    <w:rsid w:val="00E84774"/>
    <w:rsid w:val="00E901DD"/>
    <w:rsid w:val="00E9321A"/>
    <w:rsid w:val="00E94B8A"/>
    <w:rsid w:val="00E9524B"/>
    <w:rsid w:val="00EB5523"/>
    <w:rsid w:val="00EC4C2F"/>
    <w:rsid w:val="00ED019B"/>
    <w:rsid w:val="00ED1EC9"/>
    <w:rsid w:val="00ED565B"/>
    <w:rsid w:val="00EF3456"/>
    <w:rsid w:val="00EF6026"/>
    <w:rsid w:val="00F235FF"/>
    <w:rsid w:val="00F311F0"/>
    <w:rsid w:val="00F34943"/>
    <w:rsid w:val="00F42609"/>
    <w:rsid w:val="00F5024F"/>
    <w:rsid w:val="00F555C5"/>
    <w:rsid w:val="00F90268"/>
    <w:rsid w:val="00FA5490"/>
    <w:rsid w:val="00FA78DC"/>
    <w:rsid w:val="00FB053D"/>
    <w:rsid w:val="00FC41DA"/>
    <w:rsid w:val="00FE3CD3"/>
    <w:rsid w:val="12018FB5"/>
    <w:rsid w:val="3B6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50763"/>
  <w15:chartTrackingRefBased/>
  <w15:docId w15:val="{A2621BA9-ACEF-B14A-939F-B12D60D2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AB9"/>
    <w:rPr>
      <w:rFonts w:ascii="Roboto" w:hAnsi="Roboto"/>
    </w:rPr>
  </w:style>
  <w:style w:type="paragraph" w:styleId="Heading1">
    <w:name w:val="heading 1"/>
    <w:basedOn w:val="Normal"/>
    <w:next w:val="Normal"/>
    <w:link w:val="Heading1Char"/>
    <w:uiPriority w:val="9"/>
    <w:qFormat/>
    <w:rsid w:val="002B07C2"/>
    <w:pPr>
      <w:keepNext/>
      <w:keepLines/>
      <w:spacing w:after="80"/>
      <w:outlineLvl w:val="0"/>
    </w:pPr>
    <w:rPr>
      <w:rFonts w:ascii="Montserrat" w:eastAsiaTheme="majorEastAsia" w:hAnsi="Montserrat" w:cstheme="majorBidi"/>
      <w:b/>
      <w:color w:val="054362" w:themeColor="accent1" w:themeShade="BF"/>
      <w:sz w:val="48"/>
      <w:szCs w:val="40"/>
    </w:rPr>
  </w:style>
  <w:style w:type="paragraph" w:styleId="Heading2">
    <w:name w:val="heading 2"/>
    <w:basedOn w:val="Normal"/>
    <w:next w:val="Normal"/>
    <w:link w:val="Heading2Char"/>
    <w:uiPriority w:val="9"/>
    <w:unhideWhenUsed/>
    <w:qFormat/>
    <w:rsid w:val="00220F0C"/>
    <w:pPr>
      <w:keepNext/>
      <w:keepLines/>
      <w:spacing w:before="160" w:after="80"/>
      <w:outlineLvl w:val="1"/>
    </w:pPr>
    <w:rPr>
      <w:rFonts w:eastAsiaTheme="majorEastAsia" w:cstheme="majorBidi"/>
      <w:b/>
      <w:color w:val="054362" w:themeColor="accent1" w:themeShade="BF"/>
      <w:sz w:val="40"/>
      <w:szCs w:val="32"/>
    </w:rPr>
  </w:style>
  <w:style w:type="paragraph" w:styleId="Heading3">
    <w:name w:val="heading 3"/>
    <w:basedOn w:val="Normal"/>
    <w:next w:val="Normal"/>
    <w:link w:val="Heading3Char"/>
    <w:uiPriority w:val="9"/>
    <w:unhideWhenUsed/>
    <w:qFormat/>
    <w:rsid w:val="004B6305"/>
    <w:pPr>
      <w:keepNext/>
      <w:keepLines/>
      <w:spacing w:before="160" w:after="80"/>
      <w:outlineLvl w:val="2"/>
    </w:pPr>
    <w:rPr>
      <w:rFonts w:eastAsiaTheme="majorEastAsia" w:cstheme="majorBidi"/>
      <w:b/>
      <w:color w:val="054362" w:themeColor="accent1" w:themeShade="BF"/>
      <w:sz w:val="32"/>
      <w:szCs w:val="28"/>
    </w:rPr>
  </w:style>
  <w:style w:type="paragraph" w:styleId="Heading4">
    <w:name w:val="heading 4"/>
    <w:basedOn w:val="Normal"/>
    <w:next w:val="Normal"/>
    <w:link w:val="Heading4Char"/>
    <w:uiPriority w:val="9"/>
    <w:unhideWhenUsed/>
    <w:qFormat/>
    <w:rsid w:val="001B3210"/>
    <w:pPr>
      <w:keepNext/>
      <w:keepLines/>
      <w:spacing w:before="80" w:after="40"/>
      <w:outlineLvl w:val="3"/>
    </w:pPr>
    <w:rPr>
      <w:rFonts w:ascii="Montserrat" w:eastAsiaTheme="majorEastAsia" w:hAnsi="Montserrat" w:cstheme="majorBidi"/>
      <w:b/>
      <w:iCs/>
      <w:color w:val="075A83" w:themeColor="accent1"/>
      <w:sz w:val="28"/>
    </w:rPr>
  </w:style>
  <w:style w:type="paragraph" w:styleId="Heading5">
    <w:name w:val="heading 5"/>
    <w:basedOn w:val="Normal"/>
    <w:next w:val="Normal"/>
    <w:link w:val="Heading5Char"/>
    <w:uiPriority w:val="9"/>
    <w:semiHidden/>
    <w:unhideWhenUsed/>
    <w:qFormat/>
    <w:rsid w:val="007D2AB9"/>
    <w:pPr>
      <w:keepNext/>
      <w:keepLines/>
      <w:spacing w:before="80" w:after="40"/>
      <w:outlineLvl w:val="4"/>
    </w:pPr>
    <w:rPr>
      <w:rFonts w:eastAsiaTheme="majorEastAsia" w:cstheme="majorBidi"/>
      <w:color w:val="054362" w:themeColor="accent1" w:themeShade="BF"/>
    </w:rPr>
  </w:style>
  <w:style w:type="paragraph" w:styleId="Heading6">
    <w:name w:val="heading 6"/>
    <w:basedOn w:val="Normal"/>
    <w:next w:val="Normal"/>
    <w:link w:val="Heading6Char"/>
    <w:uiPriority w:val="9"/>
    <w:semiHidden/>
    <w:unhideWhenUsed/>
    <w:qFormat/>
    <w:rsid w:val="007D2AB9"/>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7D2AB9"/>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7D2AB9"/>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7D2AB9"/>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C2"/>
    <w:rPr>
      <w:rFonts w:ascii="Montserrat" w:eastAsiaTheme="majorEastAsia" w:hAnsi="Montserrat" w:cstheme="majorBidi"/>
      <w:b/>
      <w:color w:val="054362" w:themeColor="accent1" w:themeShade="BF"/>
      <w:sz w:val="48"/>
      <w:szCs w:val="40"/>
    </w:rPr>
  </w:style>
  <w:style w:type="character" w:customStyle="1" w:styleId="Heading2Char">
    <w:name w:val="Heading 2 Char"/>
    <w:basedOn w:val="DefaultParagraphFont"/>
    <w:link w:val="Heading2"/>
    <w:uiPriority w:val="9"/>
    <w:rsid w:val="00220F0C"/>
    <w:rPr>
      <w:rFonts w:ascii="Roboto" w:eastAsiaTheme="majorEastAsia" w:hAnsi="Roboto" w:cstheme="majorBidi"/>
      <w:b/>
      <w:color w:val="054362" w:themeColor="accent1" w:themeShade="BF"/>
      <w:sz w:val="40"/>
      <w:szCs w:val="32"/>
    </w:rPr>
  </w:style>
  <w:style w:type="character" w:customStyle="1" w:styleId="Heading3Char">
    <w:name w:val="Heading 3 Char"/>
    <w:basedOn w:val="DefaultParagraphFont"/>
    <w:link w:val="Heading3"/>
    <w:uiPriority w:val="9"/>
    <w:rsid w:val="004B6305"/>
    <w:rPr>
      <w:rFonts w:ascii="Roboto" w:eastAsiaTheme="majorEastAsia" w:hAnsi="Roboto" w:cstheme="majorBidi"/>
      <w:b/>
      <w:color w:val="054362" w:themeColor="accent1" w:themeShade="BF"/>
      <w:sz w:val="32"/>
      <w:szCs w:val="28"/>
    </w:rPr>
  </w:style>
  <w:style w:type="character" w:customStyle="1" w:styleId="Heading4Char">
    <w:name w:val="Heading 4 Char"/>
    <w:basedOn w:val="DefaultParagraphFont"/>
    <w:link w:val="Heading4"/>
    <w:uiPriority w:val="9"/>
    <w:rsid w:val="001B3210"/>
    <w:rPr>
      <w:rFonts w:ascii="Montserrat" w:eastAsiaTheme="majorEastAsia" w:hAnsi="Montserrat" w:cstheme="majorBidi"/>
      <w:b/>
      <w:iCs/>
      <w:color w:val="075A83" w:themeColor="accent1"/>
      <w:sz w:val="28"/>
    </w:rPr>
  </w:style>
  <w:style w:type="character" w:customStyle="1" w:styleId="Heading5Char">
    <w:name w:val="Heading 5 Char"/>
    <w:basedOn w:val="DefaultParagraphFont"/>
    <w:link w:val="Heading5"/>
    <w:uiPriority w:val="9"/>
    <w:semiHidden/>
    <w:rsid w:val="007D2AB9"/>
    <w:rPr>
      <w:rFonts w:eastAsiaTheme="majorEastAsia" w:cstheme="majorBidi"/>
      <w:color w:val="054362" w:themeColor="accent1" w:themeShade="BF"/>
    </w:rPr>
  </w:style>
  <w:style w:type="character" w:customStyle="1" w:styleId="Heading6Char">
    <w:name w:val="Heading 6 Char"/>
    <w:basedOn w:val="DefaultParagraphFont"/>
    <w:link w:val="Heading6"/>
    <w:uiPriority w:val="9"/>
    <w:semiHidden/>
    <w:rsid w:val="007D2AB9"/>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7D2AB9"/>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7D2AB9"/>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7D2AB9"/>
    <w:rPr>
      <w:rFonts w:eastAsiaTheme="majorEastAsia" w:cstheme="majorBidi"/>
      <w:color w:val="244A85" w:themeColor="text1" w:themeTint="D8"/>
    </w:rPr>
  </w:style>
  <w:style w:type="paragraph" w:styleId="Title">
    <w:name w:val="Title"/>
    <w:basedOn w:val="Normal"/>
    <w:next w:val="Normal"/>
    <w:link w:val="TitleChar"/>
    <w:autoRedefine/>
    <w:uiPriority w:val="10"/>
    <w:qFormat/>
    <w:rsid w:val="009D2015"/>
    <w:pPr>
      <w:spacing w:after="80"/>
      <w:contextualSpacing/>
    </w:pPr>
    <w:rPr>
      <w:rFonts w:ascii="Montserrat" w:eastAsiaTheme="majorEastAsia" w:hAnsi="Montserrat" w:cstheme="majorBidi"/>
      <w:b/>
      <w:color w:val="075A83" w:themeColor="accent1"/>
      <w:spacing w:val="-10"/>
      <w:kern w:val="28"/>
      <w:sz w:val="56"/>
      <w:szCs w:val="56"/>
    </w:rPr>
  </w:style>
  <w:style w:type="character" w:customStyle="1" w:styleId="TitleChar">
    <w:name w:val="Title Char"/>
    <w:basedOn w:val="DefaultParagraphFont"/>
    <w:link w:val="Title"/>
    <w:uiPriority w:val="10"/>
    <w:rsid w:val="009D2015"/>
    <w:rPr>
      <w:rFonts w:ascii="Montserrat" w:eastAsiaTheme="majorEastAsia" w:hAnsi="Montserrat" w:cstheme="majorBidi"/>
      <w:b/>
      <w:color w:val="075A83" w:themeColor="accent1"/>
      <w:spacing w:val="-10"/>
      <w:kern w:val="28"/>
      <w:sz w:val="56"/>
      <w:szCs w:val="56"/>
    </w:rPr>
  </w:style>
  <w:style w:type="paragraph" w:styleId="Subtitle">
    <w:name w:val="Subtitle"/>
    <w:basedOn w:val="Normal"/>
    <w:next w:val="Normal"/>
    <w:link w:val="SubtitleChar"/>
    <w:uiPriority w:val="11"/>
    <w:qFormat/>
    <w:rsid w:val="007D2AB9"/>
    <w:pPr>
      <w:numPr>
        <w:ilvl w:val="1"/>
      </w:numPr>
      <w:spacing w:after="160"/>
    </w:pPr>
    <w:rPr>
      <w:rFonts w:eastAsiaTheme="majorEastAsia" w:cstheme="majorBidi"/>
      <w:color w:val="356DC3" w:themeColor="text1" w:themeTint="A6"/>
      <w:spacing w:val="15"/>
      <w:sz w:val="28"/>
      <w:szCs w:val="28"/>
    </w:rPr>
  </w:style>
  <w:style w:type="character" w:customStyle="1" w:styleId="SubtitleChar">
    <w:name w:val="Subtitle Char"/>
    <w:basedOn w:val="DefaultParagraphFont"/>
    <w:link w:val="Subtitle"/>
    <w:uiPriority w:val="11"/>
    <w:rsid w:val="007D2AB9"/>
    <w:rPr>
      <w:rFonts w:eastAsiaTheme="majorEastAsia" w:cstheme="majorBidi"/>
      <w:color w:val="356DC3" w:themeColor="text1" w:themeTint="A6"/>
      <w:spacing w:val="15"/>
      <w:sz w:val="28"/>
      <w:szCs w:val="28"/>
    </w:rPr>
  </w:style>
  <w:style w:type="paragraph" w:styleId="Quote">
    <w:name w:val="Quote"/>
    <w:basedOn w:val="Normal"/>
    <w:next w:val="Normal"/>
    <w:link w:val="QuoteChar"/>
    <w:uiPriority w:val="29"/>
    <w:qFormat/>
    <w:rsid w:val="007D2AB9"/>
    <w:pPr>
      <w:spacing w:before="160" w:after="160"/>
      <w:jc w:val="center"/>
    </w:pPr>
    <w:rPr>
      <w:i/>
      <w:iCs/>
      <w:color w:val="2C5CA4" w:themeColor="text1" w:themeTint="BF"/>
    </w:rPr>
  </w:style>
  <w:style w:type="character" w:customStyle="1" w:styleId="QuoteChar">
    <w:name w:val="Quote Char"/>
    <w:basedOn w:val="DefaultParagraphFont"/>
    <w:link w:val="Quote"/>
    <w:uiPriority w:val="29"/>
    <w:rsid w:val="007D2AB9"/>
    <w:rPr>
      <w:i/>
      <w:iCs/>
      <w:color w:val="2C5CA4" w:themeColor="text1" w:themeTint="BF"/>
    </w:rPr>
  </w:style>
  <w:style w:type="paragraph" w:styleId="ListParagraph">
    <w:name w:val="List Paragraph"/>
    <w:basedOn w:val="Normal"/>
    <w:uiPriority w:val="34"/>
    <w:qFormat/>
    <w:rsid w:val="007D2AB9"/>
    <w:pPr>
      <w:ind w:left="720"/>
      <w:contextualSpacing/>
    </w:pPr>
  </w:style>
  <w:style w:type="character" w:styleId="IntenseEmphasis">
    <w:name w:val="Intense Emphasis"/>
    <w:basedOn w:val="DefaultParagraphFont"/>
    <w:uiPriority w:val="21"/>
    <w:qFormat/>
    <w:rsid w:val="007D2AB9"/>
    <w:rPr>
      <w:i/>
      <w:iCs/>
      <w:color w:val="054362" w:themeColor="accent1" w:themeShade="BF"/>
    </w:rPr>
  </w:style>
  <w:style w:type="paragraph" w:styleId="IntenseQuote">
    <w:name w:val="Intense Quote"/>
    <w:basedOn w:val="Normal"/>
    <w:next w:val="Normal"/>
    <w:link w:val="IntenseQuoteChar"/>
    <w:uiPriority w:val="30"/>
    <w:qFormat/>
    <w:rsid w:val="007D2AB9"/>
    <w:pPr>
      <w:pBdr>
        <w:top w:val="single" w:sz="4" w:space="10" w:color="054362" w:themeColor="accent1" w:themeShade="BF"/>
        <w:bottom w:val="single" w:sz="4" w:space="10" w:color="054362" w:themeColor="accent1" w:themeShade="BF"/>
      </w:pBdr>
      <w:spacing w:before="360" w:after="360"/>
      <w:ind w:left="864" w:right="864"/>
      <w:jc w:val="center"/>
    </w:pPr>
    <w:rPr>
      <w:i/>
      <w:iCs/>
      <w:color w:val="054362" w:themeColor="accent1" w:themeShade="BF"/>
    </w:rPr>
  </w:style>
  <w:style w:type="character" w:customStyle="1" w:styleId="IntenseQuoteChar">
    <w:name w:val="Intense Quote Char"/>
    <w:basedOn w:val="DefaultParagraphFont"/>
    <w:link w:val="IntenseQuote"/>
    <w:uiPriority w:val="30"/>
    <w:rsid w:val="007D2AB9"/>
    <w:rPr>
      <w:i/>
      <w:iCs/>
      <w:color w:val="054362" w:themeColor="accent1" w:themeShade="BF"/>
    </w:rPr>
  </w:style>
  <w:style w:type="character" w:styleId="IntenseReference">
    <w:name w:val="Intense Reference"/>
    <w:basedOn w:val="DefaultParagraphFont"/>
    <w:uiPriority w:val="32"/>
    <w:qFormat/>
    <w:rsid w:val="007D2AB9"/>
    <w:rPr>
      <w:b/>
      <w:bCs/>
      <w:smallCaps/>
      <w:color w:val="054362" w:themeColor="accent1" w:themeShade="BF"/>
      <w:spacing w:val="5"/>
    </w:rPr>
  </w:style>
  <w:style w:type="paragraph" w:styleId="NoSpacing">
    <w:name w:val="No Spacing"/>
    <w:uiPriority w:val="1"/>
    <w:qFormat/>
    <w:rsid w:val="007D2AB9"/>
    <w:rPr>
      <w:rFonts w:ascii="Roboto" w:hAnsi="Roboto"/>
    </w:rPr>
  </w:style>
  <w:style w:type="paragraph" w:styleId="Header">
    <w:name w:val="header"/>
    <w:basedOn w:val="Normal"/>
    <w:link w:val="HeaderChar"/>
    <w:uiPriority w:val="99"/>
    <w:unhideWhenUsed/>
    <w:rsid w:val="007D2AB9"/>
    <w:pPr>
      <w:tabs>
        <w:tab w:val="center" w:pos="4680"/>
        <w:tab w:val="right" w:pos="9360"/>
      </w:tabs>
    </w:pPr>
  </w:style>
  <w:style w:type="character" w:customStyle="1" w:styleId="HeaderChar">
    <w:name w:val="Header Char"/>
    <w:basedOn w:val="DefaultParagraphFont"/>
    <w:link w:val="Header"/>
    <w:uiPriority w:val="99"/>
    <w:rsid w:val="007D2AB9"/>
    <w:rPr>
      <w:rFonts w:ascii="Roboto" w:hAnsi="Roboto"/>
    </w:rPr>
  </w:style>
  <w:style w:type="paragraph" w:styleId="Footer">
    <w:name w:val="footer"/>
    <w:basedOn w:val="Normal"/>
    <w:link w:val="FooterChar"/>
    <w:uiPriority w:val="99"/>
    <w:unhideWhenUsed/>
    <w:rsid w:val="007D2AB9"/>
    <w:pPr>
      <w:tabs>
        <w:tab w:val="center" w:pos="4680"/>
        <w:tab w:val="right" w:pos="9360"/>
      </w:tabs>
    </w:pPr>
  </w:style>
  <w:style w:type="character" w:customStyle="1" w:styleId="FooterChar">
    <w:name w:val="Footer Char"/>
    <w:basedOn w:val="DefaultParagraphFont"/>
    <w:link w:val="Footer"/>
    <w:uiPriority w:val="99"/>
    <w:rsid w:val="007D2AB9"/>
    <w:rPr>
      <w:rFonts w:ascii="Roboto" w:hAnsi="Roboto"/>
    </w:rPr>
  </w:style>
  <w:style w:type="table" w:styleId="TableGrid">
    <w:name w:val="Table Grid"/>
    <w:basedOn w:val="TableNormal"/>
    <w:uiPriority w:val="39"/>
    <w:rsid w:val="0022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60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547">
      <w:bodyDiv w:val="1"/>
      <w:marLeft w:val="0"/>
      <w:marRight w:val="0"/>
      <w:marTop w:val="0"/>
      <w:marBottom w:val="0"/>
      <w:divBdr>
        <w:top w:val="none" w:sz="0" w:space="0" w:color="auto"/>
        <w:left w:val="none" w:sz="0" w:space="0" w:color="auto"/>
        <w:bottom w:val="none" w:sz="0" w:space="0" w:color="auto"/>
        <w:right w:val="none" w:sz="0" w:space="0" w:color="auto"/>
      </w:divBdr>
    </w:div>
    <w:div w:id="318273885">
      <w:bodyDiv w:val="1"/>
      <w:marLeft w:val="0"/>
      <w:marRight w:val="0"/>
      <w:marTop w:val="0"/>
      <w:marBottom w:val="0"/>
      <w:divBdr>
        <w:top w:val="none" w:sz="0" w:space="0" w:color="auto"/>
        <w:left w:val="none" w:sz="0" w:space="0" w:color="auto"/>
        <w:bottom w:val="none" w:sz="0" w:space="0" w:color="auto"/>
        <w:right w:val="none" w:sz="0" w:space="0" w:color="auto"/>
      </w:divBdr>
    </w:div>
    <w:div w:id="344288443">
      <w:bodyDiv w:val="1"/>
      <w:marLeft w:val="0"/>
      <w:marRight w:val="0"/>
      <w:marTop w:val="0"/>
      <w:marBottom w:val="0"/>
      <w:divBdr>
        <w:top w:val="none" w:sz="0" w:space="0" w:color="auto"/>
        <w:left w:val="none" w:sz="0" w:space="0" w:color="auto"/>
        <w:bottom w:val="none" w:sz="0" w:space="0" w:color="auto"/>
        <w:right w:val="none" w:sz="0" w:space="0" w:color="auto"/>
      </w:divBdr>
    </w:div>
    <w:div w:id="387411969">
      <w:bodyDiv w:val="1"/>
      <w:marLeft w:val="0"/>
      <w:marRight w:val="0"/>
      <w:marTop w:val="0"/>
      <w:marBottom w:val="0"/>
      <w:divBdr>
        <w:top w:val="none" w:sz="0" w:space="0" w:color="auto"/>
        <w:left w:val="none" w:sz="0" w:space="0" w:color="auto"/>
        <w:bottom w:val="none" w:sz="0" w:space="0" w:color="auto"/>
        <w:right w:val="none" w:sz="0" w:space="0" w:color="auto"/>
      </w:divBdr>
    </w:div>
    <w:div w:id="423459439">
      <w:bodyDiv w:val="1"/>
      <w:marLeft w:val="0"/>
      <w:marRight w:val="0"/>
      <w:marTop w:val="0"/>
      <w:marBottom w:val="0"/>
      <w:divBdr>
        <w:top w:val="none" w:sz="0" w:space="0" w:color="auto"/>
        <w:left w:val="none" w:sz="0" w:space="0" w:color="auto"/>
        <w:bottom w:val="none" w:sz="0" w:space="0" w:color="auto"/>
        <w:right w:val="none" w:sz="0" w:space="0" w:color="auto"/>
      </w:divBdr>
    </w:div>
    <w:div w:id="514157012">
      <w:bodyDiv w:val="1"/>
      <w:marLeft w:val="0"/>
      <w:marRight w:val="0"/>
      <w:marTop w:val="0"/>
      <w:marBottom w:val="0"/>
      <w:divBdr>
        <w:top w:val="none" w:sz="0" w:space="0" w:color="auto"/>
        <w:left w:val="none" w:sz="0" w:space="0" w:color="auto"/>
        <w:bottom w:val="none" w:sz="0" w:space="0" w:color="auto"/>
        <w:right w:val="none" w:sz="0" w:space="0" w:color="auto"/>
      </w:divBdr>
    </w:div>
    <w:div w:id="629438173">
      <w:bodyDiv w:val="1"/>
      <w:marLeft w:val="0"/>
      <w:marRight w:val="0"/>
      <w:marTop w:val="0"/>
      <w:marBottom w:val="0"/>
      <w:divBdr>
        <w:top w:val="none" w:sz="0" w:space="0" w:color="auto"/>
        <w:left w:val="none" w:sz="0" w:space="0" w:color="auto"/>
        <w:bottom w:val="none" w:sz="0" w:space="0" w:color="auto"/>
        <w:right w:val="none" w:sz="0" w:space="0" w:color="auto"/>
      </w:divBdr>
    </w:div>
    <w:div w:id="666977185">
      <w:bodyDiv w:val="1"/>
      <w:marLeft w:val="0"/>
      <w:marRight w:val="0"/>
      <w:marTop w:val="0"/>
      <w:marBottom w:val="0"/>
      <w:divBdr>
        <w:top w:val="none" w:sz="0" w:space="0" w:color="auto"/>
        <w:left w:val="none" w:sz="0" w:space="0" w:color="auto"/>
        <w:bottom w:val="none" w:sz="0" w:space="0" w:color="auto"/>
        <w:right w:val="none" w:sz="0" w:space="0" w:color="auto"/>
      </w:divBdr>
    </w:div>
    <w:div w:id="741292210">
      <w:bodyDiv w:val="1"/>
      <w:marLeft w:val="0"/>
      <w:marRight w:val="0"/>
      <w:marTop w:val="0"/>
      <w:marBottom w:val="0"/>
      <w:divBdr>
        <w:top w:val="none" w:sz="0" w:space="0" w:color="auto"/>
        <w:left w:val="none" w:sz="0" w:space="0" w:color="auto"/>
        <w:bottom w:val="none" w:sz="0" w:space="0" w:color="auto"/>
        <w:right w:val="none" w:sz="0" w:space="0" w:color="auto"/>
      </w:divBdr>
    </w:div>
    <w:div w:id="773402585">
      <w:bodyDiv w:val="1"/>
      <w:marLeft w:val="0"/>
      <w:marRight w:val="0"/>
      <w:marTop w:val="0"/>
      <w:marBottom w:val="0"/>
      <w:divBdr>
        <w:top w:val="none" w:sz="0" w:space="0" w:color="auto"/>
        <w:left w:val="none" w:sz="0" w:space="0" w:color="auto"/>
        <w:bottom w:val="none" w:sz="0" w:space="0" w:color="auto"/>
        <w:right w:val="none" w:sz="0" w:space="0" w:color="auto"/>
      </w:divBdr>
    </w:div>
    <w:div w:id="826438368">
      <w:bodyDiv w:val="1"/>
      <w:marLeft w:val="0"/>
      <w:marRight w:val="0"/>
      <w:marTop w:val="0"/>
      <w:marBottom w:val="0"/>
      <w:divBdr>
        <w:top w:val="none" w:sz="0" w:space="0" w:color="auto"/>
        <w:left w:val="none" w:sz="0" w:space="0" w:color="auto"/>
        <w:bottom w:val="none" w:sz="0" w:space="0" w:color="auto"/>
        <w:right w:val="none" w:sz="0" w:space="0" w:color="auto"/>
      </w:divBdr>
    </w:div>
    <w:div w:id="909921997">
      <w:bodyDiv w:val="1"/>
      <w:marLeft w:val="0"/>
      <w:marRight w:val="0"/>
      <w:marTop w:val="0"/>
      <w:marBottom w:val="0"/>
      <w:divBdr>
        <w:top w:val="none" w:sz="0" w:space="0" w:color="auto"/>
        <w:left w:val="none" w:sz="0" w:space="0" w:color="auto"/>
        <w:bottom w:val="none" w:sz="0" w:space="0" w:color="auto"/>
        <w:right w:val="none" w:sz="0" w:space="0" w:color="auto"/>
      </w:divBdr>
    </w:div>
    <w:div w:id="921063290">
      <w:bodyDiv w:val="1"/>
      <w:marLeft w:val="0"/>
      <w:marRight w:val="0"/>
      <w:marTop w:val="0"/>
      <w:marBottom w:val="0"/>
      <w:divBdr>
        <w:top w:val="none" w:sz="0" w:space="0" w:color="auto"/>
        <w:left w:val="none" w:sz="0" w:space="0" w:color="auto"/>
        <w:bottom w:val="none" w:sz="0" w:space="0" w:color="auto"/>
        <w:right w:val="none" w:sz="0" w:space="0" w:color="auto"/>
      </w:divBdr>
    </w:div>
    <w:div w:id="932204102">
      <w:bodyDiv w:val="1"/>
      <w:marLeft w:val="0"/>
      <w:marRight w:val="0"/>
      <w:marTop w:val="0"/>
      <w:marBottom w:val="0"/>
      <w:divBdr>
        <w:top w:val="none" w:sz="0" w:space="0" w:color="auto"/>
        <w:left w:val="none" w:sz="0" w:space="0" w:color="auto"/>
        <w:bottom w:val="none" w:sz="0" w:space="0" w:color="auto"/>
        <w:right w:val="none" w:sz="0" w:space="0" w:color="auto"/>
      </w:divBdr>
    </w:div>
    <w:div w:id="961499549">
      <w:bodyDiv w:val="1"/>
      <w:marLeft w:val="0"/>
      <w:marRight w:val="0"/>
      <w:marTop w:val="0"/>
      <w:marBottom w:val="0"/>
      <w:divBdr>
        <w:top w:val="none" w:sz="0" w:space="0" w:color="auto"/>
        <w:left w:val="none" w:sz="0" w:space="0" w:color="auto"/>
        <w:bottom w:val="none" w:sz="0" w:space="0" w:color="auto"/>
        <w:right w:val="none" w:sz="0" w:space="0" w:color="auto"/>
      </w:divBdr>
    </w:div>
    <w:div w:id="965427090">
      <w:bodyDiv w:val="1"/>
      <w:marLeft w:val="0"/>
      <w:marRight w:val="0"/>
      <w:marTop w:val="0"/>
      <w:marBottom w:val="0"/>
      <w:divBdr>
        <w:top w:val="none" w:sz="0" w:space="0" w:color="auto"/>
        <w:left w:val="none" w:sz="0" w:space="0" w:color="auto"/>
        <w:bottom w:val="none" w:sz="0" w:space="0" w:color="auto"/>
        <w:right w:val="none" w:sz="0" w:space="0" w:color="auto"/>
      </w:divBdr>
    </w:div>
    <w:div w:id="1003777272">
      <w:bodyDiv w:val="1"/>
      <w:marLeft w:val="0"/>
      <w:marRight w:val="0"/>
      <w:marTop w:val="0"/>
      <w:marBottom w:val="0"/>
      <w:divBdr>
        <w:top w:val="none" w:sz="0" w:space="0" w:color="auto"/>
        <w:left w:val="none" w:sz="0" w:space="0" w:color="auto"/>
        <w:bottom w:val="none" w:sz="0" w:space="0" w:color="auto"/>
        <w:right w:val="none" w:sz="0" w:space="0" w:color="auto"/>
      </w:divBdr>
    </w:div>
    <w:div w:id="1010333531">
      <w:bodyDiv w:val="1"/>
      <w:marLeft w:val="0"/>
      <w:marRight w:val="0"/>
      <w:marTop w:val="0"/>
      <w:marBottom w:val="0"/>
      <w:divBdr>
        <w:top w:val="none" w:sz="0" w:space="0" w:color="auto"/>
        <w:left w:val="none" w:sz="0" w:space="0" w:color="auto"/>
        <w:bottom w:val="none" w:sz="0" w:space="0" w:color="auto"/>
        <w:right w:val="none" w:sz="0" w:space="0" w:color="auto"/>
      </w:divBdr>
    </w:div>
    <w:div w:id="1350107275">
      <w:bodyDiv w:val="1"/>
      <w:marLeft w:val="0"/>
      <w:marRight w:val="0"/>
      <w:marTop w:val="0"/>
      <w:marBottom w:val="0"/>
      <w:divBdr>
        <w:top w:val="none" w:sz="0" w:space="0" w:color="auto"/>
        <w:left w:val="none" w:sz="0" w:space="0" w:color="auto"/>
        <w:bottom w:val="none" w:sz="0" w:space="0" w:color="auto"/>
        <w:right w:val="none" w:sz="0" w:space="0" w:color="auto"/>
      </w:divBdr>
    </w:div>
    <w:div w:id="1500735093">
      <w:bodyDiv w:val="1"/>
      <w:marLeft w:val="0"/>
      <w:marRight w:val="0"/>
      <w:marTop w:val="0"/>
      <w:marBottom w:val="0"/>
      <w:divBdr>
        <w:top w:val="none" w:sz="0" w:space="0" w:color="auto"/>
        <w:left w:val="none" w:sz="0" w:space="0" w:color="auto"/>
        <w:bottom w:val="none" w:sz="0" w:space="0" w:color="auto"/>
        <w:right w:val="none" w:sz="0" w:space="0" w:color="auto"/>
      </w:divBdr>
    </w:div>
    <w:div w:id="1504667343">
      <w:bodyDiv w:val="1"/>
      <w:marLeft w:val="0"/>
      <w:marRight w:val="0"/>
      <w:marTop w:val="0"/>
      <w:marBottom w:val="0"/>
      <w:divBdr>
        <w:top w:val="none" w:sz="0" w:space="0" w:color="auto"/>
        <w:left w:val="none" w:sz="0" w:space="0" w:color="auto"/>
        <w:bottom w:val="none" w:sz="0" w:space="0" w:color="auto"/>
        <w:right w:val="none" w:sz="0" w:space="0" w:color="auto"/>
      </w:divBdr>
    </w:div>
    <w:div w:id="1648511124">
      <w:bodyDiv w:val="1"/>
      <w:marLeft w:val="0"/>
      <w:marRight w:val="0"/>
      <w:marTop w:val="0"/>
      <w:marBottom w:val="0"/>
      <w:divBdr>
        <w:top w:val="none" w:sz="0" w:space="0" w:color="auto"/>
        <w:left w:val="none" w:sz="0" w:space="0" w:color="auto"/>
        <w:bottom w:val="none" w:sz="0" w:space="0" w:color="auto"/>
        <w:right w:val="none" w:sz="0" w:space="0" w:color="auto"/>
      </w:divBdr>
    </w:div>
    <w:div w:id="1659571010">
      <w:bodyDiv w:val="1"/>
      <w:marLeft w:val="0"/>
      <w:marRight w:val="0"/>
      <w:marTop w:val="0"/>
      <w:marBottom w:val="0"/>
      <w:divBdr>
        <w:top w:val="none" w:sz="0" w:space="0" w:color="auto"/>
        <w:left w:val="none" w:sz="0" w:space="0" w:color="auto"/>
        <w:bottom w:val="none" w:sz="0" w:space="0" w:color="auto"/>
        <w:right w:val="none" w:sz="0" w:space="0" w:color="auto"/>
      </w:divBdr>
    </w:div>
    <w:div w:id="1781027785">
      <w:bodyDiv w:val="1"/>
      <w:marLeft w:val="0"/>
      <w:marRight w:val="0"/>
      <w:marTop w:val="0"/>
      <w:marBottom w:val="0"/>
      <w:divBdr>
        <w:top w:val="none" w:sz="0" w:space="0" w:color="auto"/>
        <w:left w:val="none" w:sz="0" w:space="0" w:color="auto"/>
        <w:bottom w:val="none" w:sz="0" w:space="0" w:color="auto"/>
        <w:right w:val="none" w:sz="0" w:space="0" w:color="auto"/>
      </w:divBdr>
    </w:div>
    <w:div w:id="1864052677">
      <w:bodyDiv w:val="1"/>
      <w:marLeft w:val="0"/>
      <w:marRight w:val="0"/>
      <w:marTop w:val="0"/>
      <w:marBottom w:val="0"/>
      <w:divBdr>
        <w:top w:val="none" w:sz="0" w:space="0" w:color="auto"/>
        <w:left w:val="none" w:sz="0" w:space="0" w:color="auto"/>
        <w:bottom w:val="none" w:sz="0" w:space="0" w:color="auto"/>
        <w:right w:val="none" w:sz="0" w:space="0" w:color="auto"/>
      </w:divBdr>
    </w:div>
    <w:div w:id="19459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DGA Custom">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6" ma:contentTypeDescription="Create a new document." ma:contentTypeScope="" ma:versionID="3a21f3cb5bc0b61a76991d8e1c07f41f">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5032ad03a39d8c67e46c2b221659db52"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Props1.xml><?xml version="1.0" encoding="utf-8"?>
<ds:datastoreItem xmlns:ds="http://schemas.openxmlformats.org/officeDocument/2006/customXml" ds:itemID="{1A64B266-386C-4379-B2EE-5F70BD792BB6}">
  <ds:schemaRefs>
    <ds:schemaRef ds:uri="http://schemas.microsoft.com/sharepoint/v3/contenttype/forms"/>
  </ds:schemaRefs>
</ds:datastoreItem>
</file>

<file path=customXml/itemProps2.xml><?xml version="1.0" encoding="utf-8"?>
<ds:datastoreItem xmlns:ds="http://schemas.openxmlformats.org/officeDocument/2006/customXml" ds:itemID="{BF075E51-6A60-4B2C-98B0-7296B2E19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41EB5-CD3F-45A0-B45F-3C262FA1927A}">
  <ds:schemaRefs>
    <ds:schemaRef ds:uri="http://purl.org/dc/elements/1.1/"/>
    <ds:schemaRef ds:uri="http://schemas.microsoft.com/office/2006/documentManagement/types"/>
    <ds:schemaRef ds:uri="http://schemas.microsoft.com/office/infopath/2007/PartnerControls"/>
    <ds:schemaRef ds:uri="http://www.w3.org/XML/1998/namespace"/>
    <ds:schemaRef ds:uri="7045eb7b-c79e-4e4d-ae15-b7707d8cd04b"/>
    <ds:schemaRef ds:uri="http://schemas.openxmlformats.org/package/2006/metadata/core-properties"/>
    <ds:schemaRef ds:uri="http://purl.org/dc/dcmitype/"/>
    <ds:schemaRef ds:uri="8594abcd-5b69-4f0a-85f1-64c8f0f62b52"/>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Milesh, Nicolle (VITA)</dc:creator>
  <cp:keywords/>
  <dc:description/>
  <cp:lastModifiedBy>Bailey, Jessi (ODGA)</cp:lastModifiedBy>
  <cp:revision>2</cp:revision>
  <dcterms:created xsi:type="dcterms:W3CDTF">2025-09-12T13:15:00Z</dcterms:created>
  <dcterms:modified xsi:type="dcterms:W3CDTF">2025-09-12T13:15:00Z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